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56F56">
      <w:pPr>
        <w:pStyle w:val="NormalWeb"/>
        <w:jc w:val="center"/>
        <w:divId w:val="1994867161"/>
        <w:rPr>
          <w:color w:val="000000"/>
        </w:rPr>
      </w:pPr>
      <w:bookmarkStart w:id="0" w:name="_GoBack"/>
      <w:bookmarkEnd w:id="0"/>
      <w:r>
        <w:rPr>
          <w:rStyle w:val="Strong"/>
          <w:color w:val="000000"/>
          <w:sz w:val="30"/>
          <w:szCs w:val="30"/>
        </w:rPr>
        <w:t>Ph</w:t>
      </w:r>
      <w:r>
        <w:rPr>
          <w:rStyle w:val="Strong"/>
          <w:color w:val="000000"/>
          <w:sz w:val="30"/>
          <w:szCs w:val="30"/>
        </w:rPr>
        <w:t>ụ</w:t>
      </w:r>
      <w:r>
        <w:rPr>
          <w:rStyle w:val="Strong"/>
          <w:color w:val="000000"/>
          <w:sz w:val="30"/>
          <w:szCs w:val="30"/>
        </w:rPr>
        <w:t xml:space="preserve"> l</w:t>
      </w:r>
      <w:r>
        <w:rPr>
          <w:rStyle w:val="Strong"/>
          <w:color w:val="000000"/>
          <w:sz w:val="30"/>
          <w:szCs w:val="30"/>
        </w:rPr>
        <w:t>ụ</w:t>
      </w:r>
      <w:r>
        <w:rPr>
          <w:rStyle w:val="Strong"/>
          <w:color w:val="000000"/>
          <w:sz w:val="30"/>
          <w:szCs w:val="30"/>
        </w:rPr>
        <w:t>c I</w:t>
      </w:r>
    </w:p>
    <w:p w:rsidR="00000000" w:rsidRDefault="00956F56">
      <w:pPr>
        <w:pStyle w:val="NormalWeb"/>
        <w:jc w:val="center"/>
        <w:divId w:val="1994867161"/>
        <w:rPr>
          <w:color w:val="000000"/>
        </w:rPr>
      </w:pPr>
      <w:r>
        <w:rPr>
          <w:rStyle w:val="Strong"/>
          <w:color w:val="000000"/>
          <w:sz w:val="30"/>
          <w:szCs w:val="30"/>
        </w:rPr>
        <w:t>CHO Ý KI</w:t>
      </w:r>
      <w:r>
        <w:rPr>
          <w:rStyle w:val="Strong"/>
          <w:color w:val="000000"/>
          <w:sz w:val="30"/>
          <w:szCs w:val="30"/>
        </w:rPr>
        <w:t>Ế</w:t>
      </w:r>
      <w:r>
        <w:rPr>
          <w:rStyle w:val="Strong"/>
          <w:color w:val="000000"/>
          <w:sz w:val="30"/>
          <w:szCs w:val="30"/>
        </w:rPr>
        <w:t>N Đ</w:t>
      </w:r>
      <w:r>
        <w:rPr>
          <w:rStyle w:val="Strong"/>
          <w:color w:val="000000"/>
          <w:sz w:val="30"/>
          <w:szCs w:val="30"/>
        </w:rPr>
        <w:t>Ố</w:t>
      </w:r>
      <w:r>
        <w:rPr>
          <w:rStyle w:val="Strong"/>
          <w:color w:val="000000"/>
          <w:sz w:val="30"/>
          <w:szCs w:val="30"/>
        </w:rPr>
        <w:t>I V</w:t>
      </w:r>
      <w:r>
        <w:rPr>
          <w:rStyle w:val="Strong"/>
          <w:color w:val="000000"/>
          <w:sz w:val="30"/>
          <w:szCs w:val="30"/>
        </w:rPr>
        <w:t>Ớ</w:t>
      </w:r>
      <w:r>
        <w:rPr>
          <w:rStyle w:val="Strong"/>
          <w:color w:val="000000"/>
          <w:sz w:val="30"/>
          <w:szCs w:val="30"/>
        </w:rPr>
        <w:t>I K</w:t>
      </w:r>
      <w:r>
        <w:rPr>
          <w:rStyle w:val="Strong"/>
          <w:color w:val="000000"/>
          <w:sz w:val="30"/>
          <w:szCs w:val="30"/>
        </w:rPr>
        <w:t>Ế</w:t>
      </w:r>
      <w:r>
        <w:rPr>
          <w:rStyle w:val="Strong"/>
          <w:color w:val="000000"/>
          <w:sz w:val="30"/>
          <w:szCs w:val="30"/>
        </w:rPr>
        <w:t>T QU</w:t>
      </w:r>
      <w:r>
        <w:rPr>
          <w:rStyle w:val="Strong"/>
          <w:color w:val="000000"/>
          <w:sz w:val="30"/>
          <w:szCs w:val="30"/>
        </w:rPr>
        <w:t>Ả</w:t>
      </w:r>
      <w:r>
        <w:rPr>
          <w:rStyle w:val="Strong"/>
          <w:color w:val="000000"/>
          <w:sz w:val="30"/>
          <w:szCs w:val="30"/>
        </w:rPr>
        <w:t xml:space="preserve"> RÀ SOÁT KHÓ KHĂN, VƯ</w:t>
      </w:r>
      <w:r>
        <w:rPr>
          <w:rStyle w:val="Strong"/>
          <w:color w:val="000000"/>
          <w:sz w:val="30"/>
          <w:szCs w:val="30"/>
        </w:rPr>
        <w:t>Ớ</w:t>
      </w:r>
      <w:r>
        <w:rPr>
          <w:rStyle w:val="Strong"/>
          <w:color w:val="000000"/>
          <w:sz w:val="30"/>
          <w:szCs w:val="30"/>
        </w:rPr>
        <w:t>NG M</w:t>
      </w:r>
      <w:r>
        <w:rPr>
          <w:rStyle w:val="Strong"/>
          <w:color w:val="000000"/>
          <w:sz w:val="30"/>
          <w:szCs w:val="30"/>
        </w:rPr>
        <w:t>Ắ</w:t>
      </w:r>
      <w:r>
        <w:rPr>
          <w:rStyle w:val="Strong"/>
          <w:color w:val="000000"/>
          <w:sz w:val="30"/>
          <w:szCs w:val="30"/>
        </w:rPr>
        <w:t>C DO QUY Đ</w:t>
      </w:r>
      <w:r>
        <w:rPr>
          <w:rStyle w:val="Strong"/>
          <w:color w:val="000000"/>
          <w:sz w:val="30"/>
          <w:szCs w:val="30"/>
        </w:rPr>
        <w:t>Ị</w:t>
      </w:r>
      <w:r>
        <w:rPr>
          <w:rStyle w:val="Strong"/>
          <w:color w:val="000000"/>
          <w:sz w:val="30"/>
          <w:szCs w:val="30"/>
        </w:rPr>
        <w:t>NH PHÁP LU</w:t>
      </w:r>
      <w:r>
        <w:rPr>
          <w:rStyle w:val="Strong"/>
          <w:color w:val="000000"/>
          <w:sz w:val="30"/>
          <w:szCs w:val="30"/>
        </w:rPr>
        <w:t>Ậ</w:t>
      </w:r>
      <w:r>
        <w:rPr>
          <w:rStyle w:val="Strong"/>
          <w:color w:val="000000"/>
          <w:sz w:val="30"/>
          <w:szCs w:val="30"/>
        </w:rPr>
        <w:t>T</w:t>
      </w:r>
    </w:p>
    <w:p w:rsidR="00000000" w:rsidRDefault="00956F56">
      <w:pPr>
        <w:pStyle w:val="NormalWeb"/>
        <w:jc w:val="center"/>
        <w:divId w:val="1994867161"/>
        <w:rPr>
          <w:color w:val="000000"/>
        </w:rPr>
      </w:pPr>
      <w:r>
        <w:rPr>
          <w:rStyle w:val="Strong"/>
          <w:color w:val="000000"/>
          <w:sz w:val="30"/>
          <w:szCs w:val="30"/>
        </w:rPr>
        <w:t>Tiêu chí: Quy đ</w:t>
      </w:r>
      <w:r>
        <w:rPr>
          <w:rStyle w:val="Strong"/>
          <w:color w:val="000000"/>
          <w:sz w:val="30"/>
          <w:szCs w:val="30"/>
        </w:rPr>
        <w:t>ị</w:t>
      </w:r>
      <w:r>
        <w:rPr>
          <w:rStyle w:val="Strong"/>
          <w:color w:val="000000"/>
          <w:sz w:val="30"/>
          <w:szCs w:val="30"/>
        </w:rPr>
        <w:t>nh mâu thu</w:t>
      </w:r>
      <w:r>
        <w:rPr>
          <w:rStyle w:val="Strong"/>
          <w:color w:val="000000"/>
          <w:sz w:val="30"/>
          <w:szCs w:val="30"/>
        </w:rPr>
        <w:t>ẫ</w:t>
      </w:r>
      <w:r>
        <w:rPr>
          <w:rStyle w:val="Strong"/>
          <w:color w:val="000000"/>
          <w:sz w:val="30"/>
          <w:szCs w:val="30"/>
        </w:rPr>
        <w:t>n, ch</w:t>
      </w:r>
      <w:r>
        <w:rPr>
          <w:rStyle w:val="Strong"/>
          <w:color w:val="000000"/>
          <w:sz w:val="30"/>
          <w:szCs w:val="30"/>
        </w:rPr>
        <w:t>ồ</w:t>
      </w:r>
      <w:r>
        <w:rPr>
          <w:rStyle w:val="Strong"/>
          <w:color w:val="000000"/>
          <w:sz w:val="30"/>
          <w:szCs w:val="30"/>
        </w:rPr>
        <w:t>ng chéo trong cùng m</w:t>
      </w:r>
      <w:r>
        <w:rPr>
          <w:rStyle w:val="Strong"/>
          <w:color w:val="000000"/>
          <w:sz w:val="30"/>
          <w:szCs w:val="30"/>
        </w:rPr>
        <w:t>ộ</w:t>
      </w:r>
      <w:r>
        <w:rPr>
          <w:rStyle w:val="Strong"/>
          <w:color w:val="000000"/>
          <w:sz w:val="30"/>
          <w:szCs w:val="30"/>
        </w:rPr>
        <w:t>t VBQPPL ho</w:t>
      </w:r>
      <w:r>
        <w:rPr>
          <w:rStyle w:val="Strong"/>
          <w:color w:val="000000"/>
          <w:sz w:val="30"/>
          <w:szCs w:val="30"/>
        </w:rPr>
        <w:t>ặ</w:t>
      </w:r>
      <w:r>
        <w:rPr>
          <w:rStyle w:val="Strong"/>
          <w:color w:val="000000"/>
          <w:sz w:val="30"/>
          <w:szCs w:val="30"/>
        </w:rPr>
        <w:t>c gi</w:t>
      </w:r>
      <w:r>
        <w:rPr>
          <w:rStyle w:val="Strong"/>
          <w:color w:val="000000"/>
          <w:sz w:val="30"/>
          <w:szCs w:val="30"/>
        </w:rPr>
        <w:t>ữ</w:t>
      </w:r>
      <w:r>
        <w:rPr>
          <w:rStyle w:val="Strong"/>
          <w:color w:val="000000"/>
          <w:sz w:val="30"/>
          <w:szCs w:val="30"/>
        </w:rPr>
        <w:t>a các VBQPPL</w:t>
      </w:r>
    </w:p>
    <w:p w:rsidR="00000000" w:rsidRDefault="00956F56">
      <w:pPr>
        <w:pStyle w:val="NormalWeb"/>
        <w:jc w:val="center"/>
        <w:divId w:val="1994867161"/>
        <w:rPr>
          <w:color w:val="000000"/>
        </w:rPr>
      </w:pPr>
      <w:r>
        <w:rPr>
          <w:color w:val="000000"/>
        </w:rPr>
        <w:t>B</w:t>
      </w:r>
      <w:r>
        <w:rPr>
          <w:color w:val="000000"/>
        </w:rPr>
        <w:t>ộ</w:t>
      </w:r>
      <w:r>
        <w:rPr>
          <w:color w:val="000000"/>
        </w:rPr>
        <w:t>, ngành, cơ quan, đơn v</w:t>
      </w:r>
      <w:r>
        <w:rPr>
          <w:color w:val="000000"/>
        </w:rPr>
        <w:t>ị</w:t>
      </w:r>
      <w:r>
        <w:rPr>
          <w:color w:val="000000"/>
        </w:rPr>
        <w:t xml:space="preserve"> thu</w:t>
      </w:r>
      <w:r>
        <w:rPr>
          <w:color w:val="000000"/>
        </w:rPr>
        <w:t>ộ</w:t>
      </w:r>
      <w:r>
        <w:rPr>
          <w:color w:val="000000"/>
        </w:rPr>
        <w:t>c B</w:t>
      </w:r>
      <w:r>
        <w:rPr>
          <w:color w:val="000000"/>
        </w:rPr>
        <w:t>ộ</w:t>
      </w:r>
      <w:r>
        <w:rPr>
          <w:color w:val="000000"/>
        </w:rPr>
        <w:t xml:space="preserve"> Tư pháp cho ý ki</w:t>
      </w:r>
      <w:r>
        <w:rPr>
          <w:color w:val="000000"/>
        </w:rPr>
        <w:t>ế</w:t>
      </w:r>
      <w:r>
        <w:rPr>
          <w:color w:val="000000"/>
        </w:rPr>
        <w:t>n:…………………………</w:t>
      </w:r>
    </w:p>
    <w:p w:rsidR="00000000" w:rsidRDefault="00956F56">
      <w:pPr>
        <w:pStyle w:val="NormalWeb"/>
        <w:jc w:val="center"/>
        <w:divId w:val="1994867161"/>
        <w:rPr>
          <w:color w:val="000000"/>
        </w:rPr>
      </w:pPr>
      <w:r>
        <w:rPr>
          <w:rStyle w:val="Emphasis"/>
          <w:color w:val="000000"/>
        </w:rPr>
        <w:t>(Kèm theo Báo cáo s</w:t>
      </w:r>
      <w:r>
        <w:rPr>
          <w:rStyle w:val="Emphasis"/>
          <w:color w:val="000000"/>
        </w:rPr>
        <w:t>ố</w:t>
      </w:r>
      <w:r>
        <w:rPr>
          <w:rStyle w:val="Emphasis"/>
          <w:color w:val="000000"/>
        </w:rPr>
        <w:t>…… ngày …….c</w:t>
      </w:r>
      <w:r>
        <w:rPr>
          <w:rStyle w:val="Emphasis"/>
          <w:color w:val="000000"/>
        </w:rPr>
        <w:t>ủ</w:t>
      </w:r>
      <w:r>
        <w:rPr>
          <w:rStyle w:val="Emphasis"/>
          <w:color w:val="000000"/>
        </w:rPr>
        <w:t>a…………..)</w:t>
      </w:r>
    </w:p>
    <w:p w:rsidR="00000000" w:rsidRDefault="00956F56">
      <w:pPr>
        <w:pStyle w:val="NormalWeb"/>
        <w:jc w:val="center"/>
        <w:divId w:val="1994867161"/>
        <w:rPr>
          <w:color w:val="000000"/>
        </w:rPr>
      </w:pPr>
      <w:r>
        <w:rPr>
          <w:rStyle w:val="Emphasis"/>
          <w:color w:val="000000"/>
        </w:rPr>
        <w:t>___________________</w:t>
      </w:r>
    </w:p>
    <w:p w:rsidR="00000000" w:rsidRDefault="00956F56">
      <w:pPr>
        <w:pStyle w:val="Heading3"/>
        <w:jc w:val="center"/>
        <w:divId w:val="1862279892"/>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1 - Quy định mâu thuẫn, chồng chéo trong cùng một VBQPPL hoặc giữa các VBQPPL</w:t>
      </w:r>
    </w:p>
    <w:tbl>
      <w:tblPr>
        <w:tblW w:w="0"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71"/>
        <w:gridCol w:w="1531"/>
        <w:gridCol w:w="3785"/>
        <w:gridCol w:w="1182"/>
        <w:gridCol w:w="1182"/>
        <w:gridCol w:w="2484"/>
        <w:gridCol w:w="1442"/>
        <w:gridCol w:w="843"/>
      </w:tblGrid>
      <w:tr w:rsidR="00000000">
        <w:trPr>
          <w:divId w:val="1091007266"/>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STT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Điều, khoản, điểm, tên văn bản đề xuất xử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Nội dung quy định được phản ánh mâu thuẫn, chồng ch</w:t>
            </w:r>
            <w:r>
              <w:rPr>
                <w:rFonts w:ascii="Times" w:eastAsia="Times New Roman" w:hAnsi="Times"/>
                <w:b/>
                <w:bCs/>
                <w:sz w:val="27"/>
                <w:szCs w:val="27"/>
              </w:rPr>
              <w:t>éo</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Phương án xử lý được đề xuất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Cơ quan, tổ chức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Ý kiến của Bộ, ngành, cơ quan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Ý kiến của Bộ Tư pháp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56F56">
            <w:pPr>
              <w:jc w:val="center"/>
              <w:rPr>
                <w:rFonts w:ascii="Times" w:eastAsia="Times New Roman" w:hAnsi="Times"/>
                <w:b/>
                <w:bCs/>
                <w:sz w:val="27"/>
                <w:szCs w:val="27"/>
              </w:rPr>
            </w:pPr>
            <w:r>
              <w:rPr>
                <w:rFonts w:ascii="Times" w:eastAsia="Times New Roman" w:hAnsi="Times"/>
                <w:b/>
                <w:bCs/>
                <w:sz w:val="27"/>
                <w:szCs w:val="27"/>
              </w:rPr>
              <w:t>Thời gian cập nhật</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Khoản 1 Điều 369 của Bộ luật Tố tụng hình sự năm 2015 quy định trong thời hạn 05 ngày kể từ ngày nhận được yêu cầu của người được đương nhiên xóa án tích và </w:t>
            </w:r>
            <w:r>
              <w:rPr>
                <w:rFonts w:ascii="Times" w:eastAsia="Times New Roman" w:hAnsi="Times"/>
              </w:rPr>
              <w:lastRenderedPageBreak/>
              <w:t>xét thấy có đủ điều kiện quy định tại Điều 70 của Bộ luật hình sự thì cơ quan quản lý cơ sở dữ liệu</w:t>
            </w:r>
            <w:r>
              <w:rPr>
                <w:rFonts w:ascii="Times" w:eastAsia="Times New Roman" w:hAnsi="Times"/>
              </w:rPr>
              <w:t xml:space="preserve"> lý lịch tư pháp cấp phiếu lý lịch tư pháp là họ không có án tích.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Khoản 1 Điều 369 của Bộ luật Tố tụng hình sự năm 2015 quy định </w:t>
            </w:r>
            <w:r>
              <w:rPr>
                <w:rFonts w:ascii="Times" w:eastAsia="Times New Roman" w:hAnsi="Times"/>
              </w:rPr>
              <w:t>05 ngày kể từ ngày nhận được yêu cầu của người được đương nhiên xóa án tích và xét thấy có đủ điều kiện quy định tại Điều 70 của Bộ luật hình sự thì cơ quan quản lý cơ sở dữ liệu lý lịch tư pháp cấp phiếu lý lịch tư pháp là họ không có án tích. Trong khi đ</w:t>
            </w:r>
            <w:r>
              <w:rPr>
                <w:rFonts w:ascii="Times" w:eastAsia="Times New Roman" w:hAnsi="Times"/>
              </w:rPr>
              <w:t xml:space="preserve">ó Luật Lý lịch tư pháp năm 2009 quy định về thời hạn cấp phiếu LLTP trong trường hợp đương nhiên xoá án tích là 15 ngày. </w:t>
            </w:r>
            <w:r>
              <w:rPr>
                <w:rFonts w:ascii="Times" w:eastAsia="Times New Roman" w:hAnsi="Times"/>
              </w:rPr>
              <w:lastRenderedPageBreak/>
              <w:t>Cùng một thủ tục cấp phiếu LLTP trong trường hợp đương nhiên xoá án tích mà Luật Tố tụng hình sự quy định 05 ngày còn Luật LLTP thì quy</w:t>
            </w:r>
            <w:r>
              <w:rPr>
                <w:rFonts w:ascii="Times" w:eastAsia="Times New Roman" w:hAnsi="Times"/>
              </w:rPr>
              <w:t xml:space="preserve"> định 15 ngày. Việc mâu thuẫn của 02 Luật trên gây khó khăn cho cơ quan có trách nhiệm cấp Phiếu LLTP trong trường hợp đương nhiên xoá án tích.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VBQPPL </w:t>
            </w:r>
            <w:r>
              <w:rPr>
                <w:rFonts w:ascii="Times" w:eastAsia="Times New Roman" w:hAnsi="Times"/>
              </w:rPr>
              <w:lastRenderedPageBreak/>
              <w:t>của Luật Ban</w:t>
            </w:r>
            <w:r>
              <w:rPr>
                <w:rFonts w:ascii="Times" w:eastAsia="Times New Roman" w:hAnsi="Times"/>
              </w:rPr>
              <w:t xml:space="preserve">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Sở Tư pháp thành phố Hà Nội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16-07-2025 16:42:41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Điều 48 Luật Lý lịch tư pháp quy định thời hạn cấp Phiếu LLTP không quá 10 ngày kể từ ngày nhận được yêu cầu hợp lệ. Trường hợp là công dân Việt Nam đã cư trú ở nhiều nơi hoặc </w:t>
            </w:r>
            <w:r>
              <w:rPr>
                <w:rFonts w:ascii="Times" w:eastAsia="Times New Roman" w:hAnsi="Times"/>
              </w:rPr>
              <w:lastRenderedPageBreak/>
              <w:t>c</w:t>
            </w:r>
            <w:r>
              <w:rPr>
                <w:rFonts w:ascii="Times" w:eastAsia="Times New Roman" w:hAnsi="Times"/>
              </w:rPr>
              <w:t>ó thời gian cư trú ở nước ngoài, trường hợp phải xác minh về điều kiện đương nhiên xoá án tích quy định tại khoản 3 điều 44 Luật Lý lịch tư pháp thì thời hạn không quá 15 ngày.</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Điều 48 Luật Lý lịch tư pháp quy định thời hạn cấp Phiếu LLTP không quá 10 ngà</w:t>
            </w:r>
            <w:r>
              <w:rPr>
                <w:rFonts w:ascii="Times" w:eastAsia="Times New Roman" w:hAnsi="Times"/>
              </w:rPr>
              <w:t>y kể từ ngày nhận được yêu cầu hợp lệ. Trường hợp là công dân Việt Nam đã cư trú ở nhiều nơi hoặc có thời gian cư trú ở nước ngoài, trường hợp phải xác minh về điều kiện đương nhiên xoá án tích quy định tại khoản 3 điều 44 Luật Lý lịch tư pháp thì thời hạn</w:t>
            </w:r>
            <w:r>
              <w:rPr>
                <w:rFonts w:ascii="Times" w:eastAsia="Times New Roman" w:hAnsi="Times"/>
              </w:rPr>
              <w:t xml:space="preserve"> không quá 15 ngày. Thời hạn giải quyết thủ tục hành chính quy định ngày tức là «ngày làm việc» nhưng Luật Lý lịch tư pháp 2009 quy </w:t>
            </w:r>
            <w:r>
              <w:rPr>
                <w:rFonts w:ascii="Times" w:eastAsia="Times New Roman" w:hAnsi="Times"/>
              </w:rPr>
              <w:lastRenderedPageBreak/>
              <w:t>định ngày, ngày thì được hiểu là tính cả thử bảy, chủ nhật, ngày nghỉ lễ, nghỉ tết. Nghị định số 111/2010/NĐ-CP ngày 23/11/2</w:t>
            </w:r>
            <w:r>
              <w:rPr>
                <w:rFonts w:ascii="Times" w:eastAsia="Times New Roman" w:hAnsi="Times"/>
              </w:rPr>
              <w:t>010 của Chính phủ quy định chi tiết và hướng dẫn thi hành một số điều của Luật lý lịch tư pháp không quy định nội dung này.Như vậy, gây khó khăn cho cơ quan có trách nhiệm cấp Phiếu LLTP trong việc áp dụng ngày hẹn công dân lấy kết quả cấp Phiếu LLTP là ng</w:t>
            </w:r>
            <w:r>
              <w:rPr>
                <w:rFonts w:ascii="Times" w:eastAsia="Times New Roman" w:hAnsi="Times"/>
              </w:rPr>
              <w:t>ày làm việc hay ngày thông thường.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A. Giải thích luật, nghị quyết của Quốc hội, pháp lệnh, nghị quyết của Ủy ban Thường vụ Quốc hội theo quy định tại </w:t>
            </w:r>
            <w:r>
              <w:rPr>
                <w:rFonts w:ascii="Times" w:eastAsia="Times New Roman" w:hAnsi="Times"/>
              </w:rPr>
              <w:lastRenderedPageBreak/>
              <w:t>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Sở Tư pháp thành phố Hà Nội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16-07-2025 16:42:41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Khoản 10 Điều 41 Nghị định số 136/2020/NĐ-CP ngày 24/11/2020 của Chính phủ quy định chi tiết một số điều và biện pháp thi hành luật phòng cháy </w:t>
            </w:r>
            <w:r>
              <w:rPr>
                <w:rFonts w:ascii="Times" w:eastAsia="Times New Roman" w:hAnsi="Times"/>
              </w:rPr>
              <w:lastRenderedPageBreak/>
              <w:t>và chữa cháy và luật sửa đổi, bổ sung một số điều của luật phòng cháy và chữa cháy</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Điều 19 Bộ Luật Lao động 2019</w:t>
            </w:r>
            <w:r>
              <w:rPr>
                <w:rFonts w:ascii="Times" w:eastAsia="Times New Roman" w:hAnsi="Times"/>
              </w:rPr>
              <w:t xml:space="preserve"> quy định:“Người lao động có thể giao kết nhiều hợp đồng lao động với nhiều người sử dụng lao động nhưng phải bảo đảm thực hiện đầy đủ các nội dung đã giao kết.”Khoản 10 Điều 41 Nghị định 136/2020 quy định: “Cá nhân có văn bằng, chứng chỉ về phòng cháy chữ</w:t>
            </w:r>
            <w:r>
              <w:rPr>
                <w:rFonts w:ascii="Times" w:eastAsia="Times New Roman" w:hAnsi="Times"/>
              </w:rPr>
              <w:t xml:space="preserve">a cháy phải tham gia trực tiếp vào hoạt động kinh doanh dịch vụ của cơ sở. Cá nhân đã </w:t>
            </w:r>
            <w:r>
              <w:rPr>
                <w:rFonts w:ascii="Times" w:eastAsia="Times New Roman" w:hAnsi="Times"/>
              </w:rPr>
              <w:lastRenderedPageBreak/>
              <w:t xml:space="preserve">sử dụng văn bằng, chứng chỉ để đảm bảo cho một cơ sở đủ điều kiện kinh doanh dịch vụ phòng cháy và chữa cháy thì không được sử dụng văn bằng, chứng chỉ đó để đảm bảo cho </w:t>
            </w:r>
            <w:r>
              <w:rPr>
                <w:rFonts w:ascii="Times" w:eastAsia="Times New Roman" w:hAnsi="Times"/>
              </w:rPr>
              <w:t>cơ sở khác đủ điều kiện kinh doanh dịch vụ phòng cháy và chữa cháy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w:t>
            </w:r>
            <w:r>
              <w:rPr>
                <w:rFonts w:ascii="Times" w:eastAsia="Times New Roman" w:hAnsi="Times"/>
              </w:rPr>
              <w:lastRenderedPageBreak/>
              <w:t>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Sở Tư pháp thành phố Hà Nội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16-07-2025 16:42:41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Khoản 1 Điều 369 của Bộ luật Tố tụng hình sự năm 2015 quy định trong thời hạn 05 ngày kể từ ngày nhận được yêu cầu của người được đương nhiên xóa án tích và xét thấy có đủ điều kiện quy định tại Điều 70 của Bộ luật hình sự thì cơ quan </w:t>
            </w:r>
            <w:r>
              <w:rPr>
                <w:rFonts w:ascii="Times" w:eastAsia="Times New Roman" w:hAnsi="Times"/>
              </w:rPr>
              <w:lastRenderedPageBreak/>
              <w:t>quản lý cơ sở dữ li</w:t>
            </w:r>
            <w:r>
              <w:rPr>
                <w:rFonts w:ascii="Times" w:eastAsia="Times New Roman" w:hAnsi="Times"/>
              </w:rPr>
              <w:t>ệu lý lịch tư pháp cấp phiếu lý lịch tư pháp là họ không có án tích.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Khoản 1 Điều 369 của Bộ luật Tố tụng hình sự năm 2015 quy định 05 ngày kể từ ngày nhận được yêu cầu của người được đương nhiên xóa án tích và xét thấy có đủ điều kiện quy định tại Điều 7</w:t>
            </w:r>
            <w:r>
              <w:rPr>
                <w:rFonts w:ascii="Times" w:eastAsia="Times New Roman" w:hAnsi="Times"/>
              </w:rPr>
              <w:t>0 của Bộ luật hình sự thì cơ quan quản lý cơ sở dữ liệu lý lịch tư pháp cấp phiếu lý lịch tư pháp là họ không có án tích. Trong khi đó Luật Lý lịch tư pháp năm 2009 quy định về thời hạn cấp phiếu LLTP trong trường hợp đương nhiên xoá án tích là 15 ngày. Cù</w:t>
            </w:r>
            <w:r>
              <w:rPr>
                <w:rFonts w:ascii="Times" w:eastAsia="Times New Roman" w:hAnsi="Times"/>
              </w:rPr>
              <w:t xml:space="preserve">ng một thủ tục cấp phiếu LLTP trong trường hợp đương nhiên xoá án tích mà Luật Tố tụng hình sự quy định 05 ngày còn Luật LLTP thì quy định 15 ngày. Việc mâu thuẫn của 02 Luật trên gây khó </w:t>
            </w:r>
            <w:r>
              <w:rPr>
                <w:rFonts w:ascii="Times" w:eastAsia="Times New Roman" w:hAnsi="Times"/>
              </w:rPr>
              <w:lastRenderedPageBreak/>
              <w:t>khăn cho cơ quan có trách nhiệm cấp Phiếu LLTP trong trường hợp đươn</w:t>
            </w:r>
            <w:r>
              <w:rPr>
                <w:rFonts w:ascii="Times" w:eastAsia="Times New Roman" w:hAnsi="Times"/>
              </w:rPr>
              <w:t>g nhiên xoá án tích.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Đảng bộ cơ sở Trường Cao đẳng Luật Miền Trung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16-07-2025 16:42:41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Điều 48 Luật Lý lịch tư pháp quy định thời hạn cấp Phiếu LLTP không quá 10 ngày kể từ ngày nhận được yêu cầu hợp lệ. Trường hợp là công dân Việt Nam đã cư trú ở nhiều nơi hoặc có thời gian cư trú ở nước ngoài, trường hợp phải xác minh về điều </w:t>
            </w:r>
            <w:r>
              <w:rPr>
                <w:rFonts w:ascii="Times" w:eastAsia="Times New Roman" w:hAnsi="Times"/>
              </w:rPr>
              <w:lastRenderedPageBreak/>
              <w:t>kiện đương nh</w:t>
            </w:r>
            <w:r>
              <w:rPr>
                <w:rFonts w:ascii="Times" w:eastAsia="Times New Roman" w:hAnsi="Times"/>
              </w:rPr>
              <w:t>iên xoá án tích quy định tại khoản 3 điều 44 Luật Lý lịch tư pháp thì thời hạn không quá 15 ngày.</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Điều 48 Luật Lý lịch tư pháp quy định thời hạn cấp Phiếu LLTP không quá 10 ngày kể từ ngày nhận được yêu cầu hợp lệ. Trường hợp là công dân Việt Nam đã cư tr</w:t>
            </w:r>
            <w:r>
              <w:rPr>
                <w:rFonts w:ascii="Times" w:eastAsia="Times New Roman" w:hAnsi="Times"/>
              </w:rPr>
              <w:t>ú ở nhiều nơi hoặc có thời gian cư trú ở nước ngoài, trường hợp phải xác minh về điều kiện đương nhiên xoá án tích quy định tại khoản 3 điều 44 Luật Lý lịch tư pháp thì thời hạn không quá 15 ngày. Thời hạn giải quyết thủ tục hành chính quy định ngày tức là</w:t>
            </w:r>
            <w:r>
              <w:rPr>
                <w:rFonts w:ascii="Times" w:eastAsia="Times New Roman" w:hAnsi="Times"/>
              </w:rPr>
              <w:t xml:space="preserve"> «ngày làm việc» nhưng Luật Lý lịch tư pháp 2009 quy định ngày, ngày thì được hiểu là tính cả thử bảy, chủ nhật, ngày nghỉ lễ, nghỉ tết. Nghị định số 111/2010/NĐ-CP ngày 23/11/2010 của Chính phủ quy định chi tiết và hướng dẫn thi hành một số điều </w:t>
            </w:r>
            <w:r>
              <w:rPr>
                <w:rFonts w:ascii="Times" w:eastAsia="Times New Roman" w:hAnsi="Times"/>
              </w:rPr>
              <w:lastRenderedPageBreak/>
              <w:t xml:space="preserve">của Luật </w:t>
            </w:r>
            <w:r>
              <w:rPr>
                <w:rFonts w:ascii="Times" w:eastAsia="Times New Roman" w:hAnsi="Times"/>
              </w:rPr>
              <w:t>lý lịch tư pháp không quy định nội dung này.Như vậy, gây khó khăn cho cơ quan có trách nhiệm cấp Phiếu LLTP trong việc áp dụng ngày hẹn công dân lấy kết quả cấp Phiếu LLTP là ngày làm việc hay ngày thông thường.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A. Giải thích luật, nghị quyết của Quốc hội</w:t>
            </w:r>
            <w:r>
              <w:rPr>
                <w:rFonts w:ascii="Times" w:eastAsia="Times New Roman" w:hAnsi="Times"/>
              </w:rPr>
              <w:t>, pháp lệnh, nghị quyết của Ủy ban Thường vụ Quốc hội theo quy định tại 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Đảng bộ cơ sở Trường Cao đẳng Luật Miền Trung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16-07-2025 16:42:41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Khoản 10 Điều 41 Nghị định số 136/2020/NĐ-CP ngày 24/11/2020 của Chính phủ quy định chi tiết một số điều và biện pháp thi hành luật phòng cháy và chữa cháy và luật sửa đổi, bổ sung một số điều của luật phòng cháy và </w:t>
            </w:r>
            <w:r>
              <w:rPr>
                <w:rFonts w:ascii="Times" w:eastAsia="Times New Roman" w:hAnsi="Times"/>
              </w:rPr>
              <w:lastRenderedPageBreak/>
              <w:t>chữa cháy</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Điều 19 Bộ Luật Lao động 2019</w:t>
            </w:r>
            <w:r>
              <w:rPr>
                <w:rFonts w:ascii="Times" w:eastAsia="Times New Roman" w:hAnsi="Times"/>
              </w:rPr>
              <w:t xml:space="preserve"> quy định:“Người lao động có thể giao kết nhiều hợp đồng lao động với nhiều người sử dụng lao động nhưng phải bảo đảm thực hiện đầy đủ các nội dung đã giao kết.”Khoản 10 Điều 41 Nghị định 136/2020 quy định: “Cá nhân có văn bằng, chứng chỉ về phòng cháy chữ</w:t>
            </w:r>
            <w:r>
              <w:rPr>
                <w:rFonts w:ascii="Times" w:eastAsia="Times New Roman" w:hAnsi="Times"/>
              </w:rPr>
              <w:t xml:space="preserve">a cháy phải tham gia trực tiếp vào hoạt động kinh doanh dịch vụ của cơ sở. Cá nhân đã sử dụng văn bằng, chứng chỉ để đảm bảo cho một cơ sở đủ điều kiện kinh doanh dịch vụ phòng cháy và chữa cháy thì không được sử dụng văn bằng, chứng chỉ đó để đảm bảo cho </w:t>
            </w:r>
            <w:r>
              <w:rPr>
                <w:rFonts w:ascii="Times" w:eastAsia="Times New Roman" w:hAnsi="Times"/>
              </w:rPr>
              <w:t xml:space="preserve">cơ sở khác đủ điều </w:t>
            </w:r>
            <w:r>
              <w:rPr>
                <w:rFonts w:ascii="Times" w:eastAsia="Times New Roman" w:hAnsi="Times"/>
              </w:rPr>
              <w:lastRenderedPageBreak/>
              <w:t>kiện kinh doanh dịch vụ phòng cháy và chữa cháy</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Đảng bộ cơ sở Trường Cao đẳng Luật Miền Trung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16-07-2025 16:42:41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Điểm d khoản 4 Điều 9 và điểm i khoản 3 Điều 18 Nghị định số 144/2021/NĐ-CP, ngày 31/12/2021 của Chính phủ quy định xử phạt vi phạm hành chính trong lĩnh vực an ninh, trật tự, an toàn xã hội; phòng, chống tệ nạn xã hội; phò</w:t>
            </w:r>
            <w:r>
              <w:rPr>
                <w:rFonts w:ascii="Times" w:eastAsia="Times New Roman" w:hAnsi="Times"/>
              </w:rPr>
              <w:t>ng cháy, chữa cháy; cứu nạn, cứu hộ; phòng,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Điểm d khoản 4 Điều 9 Nghị định số 144/2021/NĐ-CP quy định hành vi “Không khai báo tạm trú cho người nước ngoài theo quy định của pháp luật” sẽ bị phạt tiền từ 4.000.000 đồng đến 6.000.000</w:t>
            </w:r>
            <w:r>
              <w:rPr>
                <w:rFonts w:ascii="Times" w:eastAsia="Times New Roman" w:hAnsi="Times"/>
              </w:rPr>
              <w:t xml:space="preserve"> đồng. Trong khi đó, điểm i khoản 3 Điều 18 Nghị định số 144/2021/NĐ-CP quy định hành vi “Cơ sở lưu trú cho người nước ngoài tạm trú qua đêm nhưng không khai báo tạm trú” bị xử phạt từ 3.000.000 đồng đến 5.000.000 đồng. Như vậy, cùng một hành vi không khai</w:t>
            </w:r>
            <w:r>
              <w:rPr>
                <w:rFonts w:ascii="Times" w:eastAsia="Times New Roman" w:hAnsi="Times"/>
              </w:rPr>
              <w:t xml:space="preserve"> báo tạm trú cho người nước ngoài nhưng lại được quy định ở 2 điều khoản điểm khác nhau với mức phạt tiền khác nhau, dẫn đến không thống nhất trong việc áp dụng pháp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C. Sửa đổi, bổ sung, thay thế, ban hành mới VBQPPL (theo trình tự, thủ tục rút gọn b</w:t>
            </w:r>
            <w:r>
              <w:rPr>
                <w:rFonts w:ascii="Times" w:eastAsia="Times New Roman" w:hAnsi="Times"/>
              </w:rPr>
              <w:t>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23:05:26</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Khoản 7 Điều 9 Luật Trật tự an toàn giao thông đường bộ và khoản 10 Điều 32 Nghị định số 168/2024/NĐ-CP, ngày 26/12/2024 của Chính phủ quy định xử phạt vi phạm hành chính về trật tự, an toàn giao thông trong lĩnh vực giao thông đường bộ; trừ điểm, phục hồi</w:t>
            </w:r>
            <w:r>
              <w:rPr>
                <w:rFonts w:ascii="Times" w:eastAsia="Times New Roman" w:hAnsi="Times"/>
              </w:rPr>
              <w:t xml:space="preserve"> giấy phép lái xe</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Tại khoản 10 Điều 32 Nghị định số 168/2024/NĐ-CP quy định: Phạt tiền từ 8.000.000 đồng đến 10.000.000 đồng đối với cá nhân, từ 16.000.000 đồng đến 20.000.000 đồng đối với tổ chức là chủ xe mô tô, xe gắn máy và các loại xe khác tương tự x</w:t>
            </w:r>
            <w:r>
              <w:rPr>
                <w:rFonts w:ascii="Times" w:eastAsia="Times New Roman" w:hAnsi="Times"/>
              </w:rPr>
              <w:t>e gắn máy thực hiện hành vi vi phạm giao xe hoặc để cho người không đủ điều kiện theo quy định tại khoản 1 Điều 56 của Luật Trật tự an toàn giao thông đường bộ điều khiển xe tham gia giao thông (bao gồm cả trường hợp người điều khiển phương tiện có giấy ph</w:t>
            </w:r>
            <w:r>
              <w:rPr>
                <w:rFonts w:ascii="Times" w:eastAsia="Times New Roman" w:hAnsi="Times"/>
              </w:rPr>
              <w:t>ép lái xe nhưng đang trong thời gian bị tước quyền sử dụng). Tuy nhiên, tại khoản 7 Điều 9 Luật Trật tự an toàn giao thông đường bộ không có hành vi “để cho người không đủ điều kiện điều khiển phương tiện” mà chỉ quy định “giao xe cơ giới, xe máy chuyên dù</w:t>
            </w:r>
            <w:r>
              <w:rPr>
                <w:rFonts w:ascii="Times" w:eastAsia="Times New Roman" w:hAnsi="Times"/>
              </w:rPr>
              <w:t>ng cho người không đủ điều kiện theo quy định của pháp luật để điều khiển tham gia giao thông đường bộ”, dẫn đến khó khăn, vướng mắc trong quá trình áp dụng.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w:t>
            </w:r>
            <w:r>
              <w:rPr>
                <w:rFonts w:ascii="Times" w:eastAsia="Times New Roman" w:hAnsi="Times"/>
              </w:rPr>
              <w:t>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23:05:26</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Điểm d khoản 4 Điều 9 và điểm i khoản 3 Điều 18 Nghị định số 144/2021/NĐ-CP, ngày 31/12/2021 của Chính phủ quy định xử phạt vi phạm hành chính trong lĩnh vực an ninh, trật tự, an toàn xã hội; phòng, chống tệ nạn xã hội; phòng cháy, chữa cháy; cứu nạn, cứu </w:t>
            </w:r>
            <w:r>
              <w:rPr>
                <w:rFonts w:ascii="Times" w:eastAsia="Times New Roman" w:hAnsi="Times"/>
              </w:rPr>
              <w:t>hộ; phòng,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Điểm d khoản 4 Điều 9 Nghị định số 144/2021/NĐ-CP quy định hành vi “Không khai báo tạm trú cho người nước ngoài theo quy định của pháp luật” sẽ bị phạt tiền từ 4.000.000 đồng đến 6.000.000 đồng. Trong khi đó, điểm i khoản</w:t>
            </w:r>
            <w:r>
              <w:rPr>
                <w:rFonts w:ascii="Times" w:eastAsia="Times New Roman" w:hAnsi="Times"/>
              </w:rPr>
              <w:t xml:space="preserve"> 3 Điều 18 Nghị định số 144/2021/NĐ-CP quy định hành vi “Cơ sở lưu trú cho người nước ngoài tạm trú qua đêm nhưng không khai báo tạm trú” bị xử phạt từ 3.000.000 đồng đến 5.000.000 đồng. Như vậy, cùng một hành vi không khai báo tạm trú cho người nước ngoài</w:t>
            </w:r>
            <w:r>
              <w:rPr>
                <w:rFonts w:ascii="Times" w:eastAsia="Times New Roman" w:hAnsi="Times"/>
              </w:rPr>
              <w:t xml:space="preserve"> nhưng lại được quy định ở 2 điều khoản điểm khác nhau với mức phạt tiền khác nhau, dẫn đến không thống nhất trong việc áp dụng pháp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C. Sửa đổi, bổ sung, thay thế, ban hành mới VBQPPL (theo trình tự, thủ tục rút gọn ban hành VBQPPL của Luật Ban hành </w:t>
            </w:r>
            <w:r>
              <w:rPr>
                <w:rFonts w:ascii="Times" w:eastAsia="Times New Roman" w:hAnsi="Times"/>
              </w:rPr>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22:55:44</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Khoản 7 Điều 9 Luật Trật tự an </w:t>
            </w:r>
            <w:r>
              <w:rPr>
                <w:rFonts w:ascii="Times" w:eastAsia="Times New Roman" w:hAnsi="Times"/>
              </w:rPr>
              <w:lastRenderedPageBreak/>
              <w:t>toàn giao thông đường bộ và khoản 10 Điều 32 Nghị định số 168/2024/NĐ-CP, ngày 26/12/2024 của Chính phủ quy định xử phạt vi phạm hành chính về trật tự, an toàn giao thông trong lĩnh vực giao thông đường bộ; trừ điểm, phục hồi</w:t>
            </w:r>
            <w:r>
              <w:rPr>
                <w:rFonts w:ascii="Times" w:eastAsia="Times New Roman" w:hAnsi="Times"/>
              </w:rPr>
              <w:t xml:space="preserve"> giấy phép lái xe</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Tại khoản 10 Điều 32 Nghị định số 168/2024/NĐ-CP quy định: Phạt tiền từ </w:t>
            </w:r>
            <w:r>
              <w:rPr>
                <w:rFonts w:ascii="Times" w:eastAsia="Times New Roman" w:hAnsi="Times"/>
              </w:rPr>
              <w:lastRenderedPageBreak/>
              <w:t>8.000.000 đồng đến 10.000.000 đồng đối với cá nhân, từ 16.000.000 đồng đến 20.000.000 đồng đối với tổ chức là chủ xe mô tô, xe gắn máy và các loại xe khác tương tự x</w:t>
            </w:r>
            <w:r>
              <w:rPr>
                <w:rFonts w:ascii="Times" w:eastAsia="Times New Roman" w:hAnsi="Times"/>
              </w:rPr>
              <w:t>e gắn máy thực hiện hành vi vi phạm giao xe hoặc để cho người không đủ điều kiện theo quy định tại khoản 1 Điều 56 của Luật Trật tự an toàn giao thông đường bộ điều khiển xe tham gia giao thông (bao gồm cả trường hợp người điều khiển phương tiện có giấy ph</w:t>
            </w:r>
            <w:r>
              <w:rPr>
                <w:rFonts w:ascii="Times" w:eastAsia="Times New Roman" w:hAnsi="Times"/>
              </w:rPr>
              <w:t>ép lái xe nhưng đang trong thời gian bị tước quyền sử dụng). Tuy nhiên, tại khoản 7 Điều 9 Luật Trật tự an toàn giao thông đường bộ không có hành vi “để cho người không đủ điều kiện điều khiển phương tiện” mà chỉ quy định “giao xe cơ giới, xe máy chuyên dù</w:t>
            </w:r>
            <w:r>
              <w:rPr>
                <w:rFonts w:ascii="Times" w:eastAsia="Times New Roman" w:hAnsi="Times"/>
              </w:rPr>
              <w:t>ng cho người không đủ điều kiện theo quy định của pháp luật để điều khiển tham gia giao thông đường bộ”, dẫn đến khó khăn, vướng mắc trong quá trình áp dụng.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thay thế, ban hành mới VBQPPL (theo trình tự, thủ tục rút gọn ban hành VBQPP</w:t>
            </w:r>
            <w:r>
              <w:rPr>
                <w:rFonts w:ascii="Times" w:eastAsia="Times New Roman" w:hAnsi="Times"/>
              </w:rPr>
              <w:t>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Sở Tư pháp tỉnh Lạng </w:t>
            </w:r>
            <w:r>
              <w:rPr>
                <w:rFonts w:ascii="Times" w:eastAsia="Times New Roman" w:hAnsi="Times"/>
              </w:rPr>
              <w:lastRenderedPageBreak/>
              <w:t>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22:55:44</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Điểm d khoản 4 </w:t>
            </w:r>
            <w:r>
              <w:rPr>
                <w:rFonts w:ascii="Times" w:eastAsia="Times New Roman" w:hAnsi="Times"/>
              </w:rPr>
              <w:lastRenderedPageBreak/>
              <w:t xml:space="preserve">Điều 9 và điểm i khoản 3 Điều 18 Nghị định số 144/2021/NĐ-CP, ngày 31/12/2021 của Chính phủ quy định xử phạt vi phạm hành chính trong lĩnh vực an ninh, trật tự, an toàn xã hội; phòng, chống tệ nạn xã hội; phòng cháy, chữa cháy; cứu nạn, cứu </w:t>
            </w:r>
            <w:r>
              <w:rPr>
                <w:rFonts w:ascii="Times" w:eastAsia="Times New Roman" w:hAnsi="Times"/>
              </w:rPr>
              <w:t>hộ; phòng,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Điểm d khoản 4 Điều 9 Nghị định số </w:t>
            </w:r>
            <w:r>
              <w:rPr>
                <w:rFonts w:ascii="Times" w:eastAsia="Times New Roman" w:hAnsi="Times"/>
              </w:rPr>
              <w:lastRenderedPageBreak/>
              <w:t>144/2021/NĐ-CP quy định hành vi “Không khai báo tạm trú cho người nước ngoài theo quy định của pháp luật” sẽ bị phạt tiền từ 4.000.000 đồng đến 6.000.000 đồng. Trong khi đó, điểm i khoản</w:t>
            </w:r>
            <w:r>
              <w:rPr>
                <w:rFonts w:ascii="Times" w:eastAsia="Times New Roman" w:hAnsi="Times"/>
              </w:rPr>
              <w:t xml:space="preserve"> 3 Điều 18 Nghị định số 144/2021/NĐ-CP quy định hành vi “Cơ sở lưu trú cho người nước ngoài tạm trú qua đêm nhưng không khai báo tạm trú” bị xử phạt từ 3.000.000 đồng đến 5.000.000 đồng. Như vậy, cùng một hành vi không khai báo tạm trú cho người nước ngoài</w:t>
            </w:r>
            <w:r>
              <w:rPr>
                <w:rFonts w:ascii="Times" w:eastAsia="Times New Roman" w:hAnsi="Times"/>
              </w:rPr>
              <w:t xml:space="preserve"> nhưng lại được quy định ở 2 điều khoản điểm khác nhau với mức phạt tiền khác nhau, dẫn đến không thống nhất trong việc áp dụng pháp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w:t>
            </w:r>
            <w:r>
              <w:rPr>
                <w:rFonts w:ascii="Times" w:eastAsia="Times New Roman" w:hAnsi="Times"/>
              </w:rPr>
              <w:lastRenderedPageBreak/>
              <w:t xml:space="preserve">bổ sung, thay thế, ban hành mới VBQPPL (theo trình tự, thủ tục rút gọn ban hành VBQPPL của Luật Ban hành </w:t>
            </w:r>
            <w:r>
              <w:rPr>
                <w:rFonts w:ascii="Times" w:eastAsia="Times New Roman" w:hAnsi="Times"/>
              </w:rPr>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Sở Tư pháp </w:t>
            </w:r>
            <w:r>
              <w:rPr>
                <w:rFonts w:ascii="Times" w:eastAsia="Times New Roman" w:hAnsi="Times"/>
              </w:rPr>
              <w:lastRenderedPageBreak/>
              <w:t>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w:t>
            </w:r>
            <w:r>
              <w:rPr>
                <w:rFonts w:ascii="Times" w:eastAsia="Times New Roman" w:hAnsi="Times"/>
              </w:rPr>
              <w:lastRenderedPageBreak/>
              <w:t>2025 22:54:57</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Khoản 7 Điều 9 Luật Trật tự an toàn giao thông </w:t>
            </w:r>
            <w:r>
              <w:rPr>
                <w:rFonts w:ascii="Times" w:eastAsia="Times New Roman" w:hAnsi="Times"/>
              </w:rPr>
              <w:lastRenderedPageBreak/>
              <w:t>đường bộ và khoản 10 Điều 32 Nghị định số 168/2024/NĐ-CP, ngày 26/12/2024 của Chính phủ quy định xử phạt vi phạm hành chính về trật tự, an toàn giao thông trong lĩnh vực giao thông đường bộ; trừ điểm, phục hồi</w:t>
            </w:r>
            <w:r>
              <w:rPr>
                <w:rFonts w:ascii="Times" w:eastAsia="Times New Roman" w:hAnsi="Times"/>
              </w:rPr>
              <w:t xml:space="preserve"> giấy phép lái xe</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Tại khoản 10 Điều 32 Nghị định số 168/2024/NĐ-CP quy định: Phạt tiền từ 8.000.000 đồng đến 10.000.000 đồng đối </w:t>
            </w:r>
            <w:r>
              <w:rPr>
                <w:rFonts w:ascii="Times" w:eastAsia="Times New Roman" w:hAnsi="Times"/>
              </w:rPr>
              <w:lastRenderedPageBreak/>
              <w:t>với cá nhân, từ 16.000.000 đồng đến 20.000.000 đồng đối với tổ chức là chủ xe mô tô, xe gắn máy và các loại xe khác tương tự x</w:t>
            </w:r>
            <w:r>
              <w:rPr>
                <w:rFonts w:ascii="Times" w:eastAsia="Times New Roman" w:hAnsi="Times"/>
              </w:rPr>
              <w:t>e gắn máy thực hiện hành vi vi phạm giao xe hoặc để cho người không đủ điều kiện theo quy định tại khoản 1 Điều 56 của Luật Trật tự an toàn giao thông đường bộ điều khiển xe tham gia giao thông (bao gồm cả trường hợp người điều khiển phương tiện có giấy ph</w:t>
            </w:r>
            <w:r>
              <w:rPr>
                <w:rFonts w:ascii="Times" w:eastAsia="Times New Roman" w:hAnsi="Times"/>
              </w:rPr>
              <w:t>ép lái xe nhưng đang trong thời gian bị tước quyền sử dụng). Tuy nhiên, tại khoản 7 Điều 9 Luật Trật tự an toàn giao thông đường bộ không có hành vi “để cho người không đủ điều kiện điều khiển phương tiện” mà chỉ quy định “giao xe cơ giới, xe máy chuyên dù</w:t>
            </w:r>
            <w:r>
              <w:rPr>
                <w:rFonts w:ascii="Times" w:eastAsia="Times New Roman" w:hAnsi="Times"/>
              </w:rPr>
              <w:t>ng cho người không đủ điều kiện theo quy định của pháp luật để điều khiển tham gia giao thông đường bộ”, dẫn đến khó khăn, vướng mắc trong quá trình áp dụng.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thay thế, </w:t>
            </w:r>
            <w:r>
              <w:rPr>
                <w:rFonts w:ascii="Times" w:eastAsia="Times New Roman" w:hAnsi="Times"/>
              </w:rPr>
              <w:lastRenderedPageBreak/>
              <w:t>ban hành mới VBQPPL (theo trình tự, thủ tục rút gọn ban hành VBQPP</w:t>
            </w:r>
            <w:r>
              <w:rPr>
                <w:rFonts w:ascii="Times" w:eastAsia="Times New Roman" w:hAnsi="Times"/>
              </w:rPr>
              <w:t>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22:54:57</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Nghị định 144/2021/NĐ-</w:t>
            </w:r>
            <w:r>
              <w:rPr>
                <w:rFonts w:ascii="Times" w:eastAsia="Times New Roman" w:hAnsi="Times"/>
              </w:rPr>
              <w:lastRenderedPageBreak/>
              <w:t>CP ngày 31/12/2021 của Chính phủ quy định xử phạt vi phạm hành chính trong lĩnh vực an ninh, trật tự, an toàn xã hội; phòng, chống tệ nạn xã hội; phòng cháy, chữa cháy; cứu nạn, cứu hộ; phòng, chống bạo lực gia đình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Trong vụ việc cố </w:t>
            </w:r>
            <w:r>
              <w:rPr>
                <w:rFonts w:ascii="Times" w:eastAsia="Times New Roman" w:hAnsi="Times"/>
              </w:rPr>
              <w:t xml:space="preserve">ý gây thương tích giữa thành viên trong gia đình do mâu thuẫn </w:t>
            </w:r>
            <w:r>
              <w:rPr>
                <w:rFonts w:ascii="Times" w:eastAsia="Times New Roman" w:hAnsi="Times"/>
              </w:rPr>
              <w:lastRenderedPageBreak/>
              <w:t xml:space="preserve">bột phát giữa quy định tại điểm a khoản 5 Điều 7 Nghị định số 144/2021/NĐ-CP (lĩnh vực ANTT, ATXH) với xử phạt người vi phạm về hành vi xâm hại sức khỏe thành viên gia đình quy định tại Điều 52 </w:t>
            </w:r>
            <w:r>
              <w:rPr>
                <w:rFonts w:ascii="Times" w:eastAsia="Times New Roman" w:hAnsi="Times"/>
              </w:rPr>
              <w:t>Nghị định số 144/2021/NĐ-CP (lĩnh vực phòng, chống bạo lực gia đình); quy định xử phạt về hành vi không khai báo tạm trú cho người nước ngoài giữa điểm đ khoản 4 Điều 9 và điểm i khoản 3 Điều 18 Nghị định số 144/2021/NĐ-CP có nhiều điểm tương đồng, khó phâ</w:t>
            </w:r>
            <w:r>
              <w:rPr>
                <w:rFonts w:ascii="Times" w:eastAsia="Times New Roman" w:hAnsi="Times"/>
              </w:rPr>
              <w:t>n biệt.- Quy định xử phạt đối với hành vi “Cố ý gây thương tích hoặc gây tổn hại cho sức khỏe của người khác nhưng không bị truy cứu trách nhiệm hình sự” tại điểm a khoản 5 Điều 7 Nghị định số 144/2021/NĐ-CP còn gặp vướng mắc trong việc áp dụng pháp luật k</w:t>
            </w:r>
            <w:r>
              <w:rPr>
                <w:rFonts w:ascii="Times" w:eastAsia="Times New Roman" w:hAnsi="Times"/>
              </w:rPr>
              <w:t>hi xử lý đối với trường hợp người vi phạm có hành vi dùng tay, chân đánh người khác nhưng không có thương tích (tổn thương phần mềm; tỉ lệ phần trăm cơ thể bị tổn hại là 00%).</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 xml:space="preserve">thay thế, ban hành mới VBQPPL (theo trình tự, thủ tục rút </w:t>
            </w:r>
            <w:r>
              <w:rPr>
                <w:rFonts w:ascii="Times" w:eastAsia="Times New Roman" w:hAnsi="Times"/>
              </w:rPr>
              <w:t>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Sở Tư pháp tỉnh Lào Cai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17:55:01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Nghị định 144/2021/NĐ-CP ngày 31/12/2021 của Chính phủ quy định xử phạt vi phạm hành chính trong lĩnh vực an ninh, trật tự, an toàn xã hội; phòng, chống tệ nạn xã hội; phòng cháy, chữa cháy; cứu nạn, cứu hộ; phòng, chống bạo lực gia đình; Nghị định 96/2020</w:t>
            </w:r>
            <w:r>
              <w:rPr>
                <w:rFonts w:ascii="Times" w:eastAsia="Times New Roman" w:hAnsi="Times"/>
              </w:rPr>
              <w:t xml:space="preserve">/NĐ-CP ngày 24/8/2020 của Chính phủ quy định xử phạt vi phạm </w:t>
            </w:r>
            <w:r>
              <w:rPr>
                <w:rFonts w:ascii="Times" w:eastAsia="Times New Roman" w:hAnsi="Times"/>
              </w:rPr>
              <w:lastRenderedPageBreak/>
              <w:t>hành chính trong lĩnh vực quản lý, bảo vệ biên giới quốc gia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Việc xác định hành vi xuất, nhập cảnh trái phép theo quy định tại điểm a khoản 3 Điều 18 Nghị định 144/2021/NĐ-CP “Qua lại biên giới </w:t>
            </w:r>
            <w:r>
              <w:rPr>
                <w:rFonts w:ascii="Times" w:eastAsia="Times New Roman" w:hAnsi="Times"/>
              </w:rPr>
              <w:t>quốc gia mà không làm thủ tục xuất cảnh, nhập cảnh theo quy định của pháp luật” gây khó khăn trong việc phân biệt với hành vi “Cư dân biên giới qua lại biên giới không có giấy tờ có giá trị xuất cảnh, nhập cảnh biên giới theo quy định của pháp luật” và “Cư</w:t>
            </w:r>
            <w:r>
              <w:rPr>
                <w:rFonts w:ascii="Times" w:eastAsia="Times New Roman" w:hAnsi="Times"/>
              </w:rPr>
              <w:t xml:space="preserve"> dân biên giới qua lại biên giới quốc gia không đúng các điểm quy định dành cho việc qua lại của cư dân biên giới” quy định tại các điểm c, d khoản 5 Điều 6 Nghị định 96/2020/NĐ-CP ngày 24/8/2020 của Chính phủ quy định xử phạt vi phạm hành chính trong lĩnh</w:t>
            </w:r>
            <w:r>
              <w:rPr>
                <w:rFonts w:ascii="Times" w:eastAsia="Times New Roman" w:hAnsi="Times"/>
              </w:rPr>
              <w:t xml:space="preserve"> vực quản lý, bảo vệ biên giới quốc gia.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Lào Cai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17:55:01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Nghị định 144/2021/NĐ-CP ngày 31/12/2021 của Chính phủ quy định xử phạt vi phạm hành chính trong lĩnh vực an ninh, trật tự, an toàn xã hội; phòng, chống tệ nạn xã hội; phòng cháy, chữa cháy; cứu nạn, cứu hộ; phòng, chống bạo lực gia đình; Nghị </w:t>
            </w:r>
            <w:r>
              <w:rPr>
                <w:rFonts w:ascii="Times" w:eastAsia="Times New Roman" w:hAnsi="Times"/>
              </w:rPr>
              <w:lastRenderedPageBreak/>
              <w:t>định số 98/2</w:t>
            </w:r>
            <w:r>
              <w:rPr>
                <w:rFonts w:ascii="Times" w:eastAsia="Times New Roman" w:hAnsi="Times"/>
              </w:rPr>
              <w:t>020/NĐ-CP ngày 26/8/2020 của Chính phủ quy định xử phạt vi phạm hành chính trong hoạt động thương mại, sản xuất, buôn bán hàng giả, hàng cấm và bảo vệ quyền lợi người tiêu dùng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Tại điểm e khoản 4 Điều 11 Nghị định số 144/2021/NĐ-CP và Điều 8 Nghị định số </w:t>
            </w:r>
            <w:r>
              <w:rPr>
                <w:rFonts w:ascii="Times" w:eastAsia="Times New Roman" w:hAnsi="Times"/>
              </w:rPr>
              <w:t>98/2020/NĐ-CP ngày 26/8/2020 của Chính phủ quy định xử phạt vi phạm hành chính trong hoạt động thương mại, sản xuất, buôn bán hàng giả, hàng cấm và bảo vệ quyền lợi người tiêu dùng đều quy định xử phạt đối với hành vi “tàng trữ trái phép pháo” gây khó khăn</w:t>
            </w:r>
            <w:r>
              <w:rPr>
                <w:rFonts w:ascii="Times" w:eastAsia="Times New Roman" w:hAnsi="Times"/>
              </w:rPr>
              <w:t xml:space="preserve"> trong việc áp dụng pháp luật để xử phạt.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Lào Cai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17:55:01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VI. Lĩnh vực quản lý của Công an Khoản 2 Điều 16 Luật Nhập cảnh, xuất cảnh, quá cảnh, cư trú của người nước ngoài tại Việt Nam Điểm </w:t>
            </w:r>
            <w:r>
              <w:rPr>
                <w:rFonts w:ascii="Times" w:eastAsia="Times New Roman" w:hAnsi="Times"/>
              </w:rPr>
              <w:lastRenderedPageBreak/>
              <w:t>l khoản 2 Điều 2 Nghị định số 152/2020/NĐ-CP ngày 30/12/2020 của Chính phủ quy định về người lao động nước ngoài làm việc tạ</w:t>
            </w:r>
            <w:r>
              <w:rPr>
                <w:rFonts w:ascii="Times" w:eastAsia="Times New Roman" w:hAnsi="Times"/>
              </w:rPr>
              <w:t>i Việt Nam và tuyển dụng, quản lý người lao động Việt Nam làm việc cho tổ chức, cá nhân nước ngoài tại Việt Nam</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Khoản 2 Điều 16 Luật Nhập cảnh, xuất cảnh, quá cảnh, cư trú của người nước ngoài tại Việt Nam quy định: “Trước khi làm thủ tục mời, bảo lảnh ng</w:t>
            </w:r>
            <w:r>
              <w:rPr>
                <w:rFonts w:ascii="Times" w:eastAsia="Times New Roman" w:hAnsi="Times"/>
              </w:rPr>
              <w:t xml:space="preserve">ười nước ngoài nhập cảnh Việt Nam tổ chức xã hội, doanh nghiệp, tổ chức khác có tư cách pháp nhân theo quy định của pháp luật Việt Nam… phải nộp hồ sơ, bao gồm (a) bản sao có chứngthực giấy phép hoặc </w:t>
            </w:r>
            <w:r>
              <w:rPr>
                <w:rFonts w:ascii="Times" w:eastAsia="Times New Roman" w:hAnsi="Times"/>
              </w:rPr>
              <w:lastRenderedPageBreak/>
              <w:t>quyết định của cơ quan có thẩm quyền về việc thành lập t</w:t>
            </w:r>
            <w:r>
              <w:rPr>
                <w:rFonts w:ascii="Times" w:eastAsia="Times New Roman" w:hAnsi="Times"/>
              </w:rPr>
              <w:t>ổ chức; (b) văn bản giới thiệu con dấu, chữ ký của người có thẩm quyền của tổ chức.” Điểm l khoản 2 Điều 2 Nghị định số 152/2020/NĐ-CP quy định: Người sử dụng người lao động nước ngoài, bao gồm hộ kinh doanh được phép hoạt động kinh doanh theo quy định của</w:t>
            </w:r>
            <w:r>
              <w:rPr>
                <w:rFonts w:ascii="Times" w:eastAsia="Times New Roman" w:hAnsi="Times"/>
              </w:rPr>
              <w:t xml:space="preserve"> pháp luật. Việc quy định mâu thuẫn như trên vì Hộ kinh doanh không có con dấu nên không thể thực hiện theo quy định tại khoản 2 Điều 16 Luật Luật Nhập cảnh, xuất cảnh, quá cảnh, cư trú của người nước ngoài tại Việt Nam, gây khó khăn trong quá trình thực h</w:t>
            </w:r>
            <w:r>
              <w:rPr>
                <w:rFonts w:ascii="Times" w:eastAsia="Times New Roman" w:hAnsi="Times"/>
              </w:rPr>
              <w:t>iện.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w:t>
            </w:r>
            <w:r>
              <w:rPr>
                <w:rFonts w:ascii="Times" w:eastAsia="Times New Roman" w:hAnsi="Times"/>
              </w:rPr>
              <w:lastRenderedPageBreak/>
              <w:t>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Sở Tư pháp tỉnh Gia Lai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16:47:43</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Điểm e khoản 4 Điều 11 Nghị định 144/2021/NĐ-CP ngày 31/12/2021 của </w:t>
            </w:r>
            <w:r>
              <w:rPr>
                <w:rFonts w:ascii="Times" w:eastAsia="Times New Roman" w:hAnsi="Times"/>
              </w:rPr>
              <w:lastRenderedPageBreak/>
              <w:t xml:space="preserve">Chính phủ quy định xử phạt vi phạm hành chính trong lĩnh vực an ninh, trật tự, an toàn xã hội; phòng, chống tệ nạn xã hội; phòng cháy, chữa cháy; cứu nạn, cứu hộ; phòng, chống bạo lực gia </w:t>
            </w:r>
            <w:r>
              <w:rPr>
                <w:rFonts w:ascii="Times" w:eastAsia="Times New Roman" w:hAnsi="Times"/>
              </w:rPr>
              <w:t xml:space="preserve">đình; Điều 8 Nghị định số 98/2020/NĐ-CP ngày 26/8/2020 của Chính phủ quy định xử phạt vi phạm hành chính trong hoạt động thương mại, sản xuất, buôn bán </w:t>
            </w:r>
            <w:r>
              <w:rPr>
                <w:rFonts w:ascii="Times" w:eastAsia="Times New Roman" w:hAnsi="Times"/>
              </w:rPr>
              <w:lastRenderedPageBreak/>
              <w:t>hàng giả, hàng cấm và bảo vệ quyền lợi người tiêu dùng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Tại điểm e khoản 4 Điều 11 Nghị định số 144/2021</w:t>
            </w:r>
            <w:r>
              <w:rPr>
                <w:rFonts w:ascii="Times" w:eastAsia="Times New Roman" w:hAnsi="Times"/>
              </w:rPr>
              <w:t xml:space="preserve">/NĐ-CP và Điều 8 Nghị định số 98/2020/NĐ-CP ngày 26/8/2020 của Chính phủ quy định xử phạt vi phạm hành chính trong hoạt động thương mại, sản xuất, buôn bán hàng giả, hàng cấm và bảo </w:t>
            </w:r>
            <w:r>
              <w:rPr>
                <w:rFonts w:ascii="Times" w:eastAsia="Times New Roman" w:hAnsi="Times"/>
              </w:rPr>
              <w:lastRenderedPageBreak/>
              <w:t>vệ quyền lợi người tiêu dùng đều quy định xử phạt đối với hành vi “tàng tr</w:t>
            </w:r>
            <w:r>
              <w:rPr>
                <w:rFonts w:ascii="Times" w:eastAsia="Times New Roman" w:hAnsi="Times"/>
              </w:rPr>
              <w:t>ữ trái phép pháo” gây khó khăn trong việc áp dụng pháp luật để xử phạt.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thay thế, ban hành mới VBQPPL </w:t>
            </w:r>
            <w:r>
              <w:rPr>
                <w:rFonts w:ascii="Times" w:eastAsia="Times New Roman" w:hAnsi="Times"/>
              </w:rPr>
              <w:lastRenderedPageBreak/>
              <w:t>(theo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Sở Tư pháp tỉnh Phú Thọ</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15:43:19</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18</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Điều 6 Nghị định 142/2021/NĐ-CP ngày 31/12/2021 của Chính phủ quy định hình thức xử phạt trục xuất, biện pháp tạm giữ người, áp giải người vi phạm theo thủ tục hành chính và quản lý người nước ngoài vi phạm pháp luật Việt Nam trong thời gian làm thủ tụ</w:t>
            </w:r>
            <w:r>
              <w:rPr>
                <w:rFonts w:ascii="Times" w:eastAsia="Times New Roman" w:hAnsi="Times"/>
              </w:rPr>
              <w:t xml:space="preserve">c </w:t>
            </w:r>
            <w:r>
              <w:rPr>
                <w:rFonts w:ascii="Times" w:eastAsia="Times New Roman" w:hAnsi="Times"/>
              </w:rPr>
              <w:lastRenderedPageBreak/>
              <w:t>trục xuất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Điều 6 Nghị định 142/2021/NĐ-CP quy định: “Cơ quan, người có thẩm quyền áp dụng hình thức xử phạt trục xuất được thực hiện theo quy định tại điểm đ khoản 5, khoản 7 Điều 39 Luật Xử lý vi phạm hành chính.” Tuy nhiên, Điều 39 Luật Xử lý vi phạm hành chính đã</w:t>
            </w:r>
            <w:r>
              <w:rPr>
                <w:rFonts w:ascii="Times" w:eastAsia="Times New Roman" w:hAnsi="Times"/>
              </w:rPr>
              <w:t xml:space="preserve"> bị bãi bỏ bởi Khoản 30 Điều 1 Luật Xử lý vi phạm hành chính sửa đổi 2025 có hiệu lực từ ngày 01/07/2025. Chức danh có quyền quyết định áp dụng hình thức xử phạt trục xuất được quy định tại các khoản 6, 7, 9 Điều 8 Nghị định 189/2025/NĐ-CP quy định chi tiế</w:t>
            </w:r>
            <w:r>
              <w:rPr>
                <w:rFonts w:ascii="Times" w:eastAsia="Times New Roman" w:hAnsi="Times"/>
              </w:rPr>
              <w:t>t Luật Xử lý vi phạm hành chính về thẩm quyền xử phạt vi phạm hành chính.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Bắc Ninh</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15:31:16</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19</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Khoản 2 Điều 3 Luật Thi hành tạm giữ, tạm giam 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 Khoản 2 Điều 3 Luật Thi hành tạm giữ, tạm giam năm 2015 quy định: “Người bị tạm giam là người đang bị quản lý tại cơ sở giam giữ trong thời hạn tạm giam, gia hạn tạm giam theo quy định của Bộ luật tố tụng hình sự, bao gồm bị can; bị cáo; người bị kết án </w:t>
            </w:r>
            <w:r>
              <w:rPr>
                <w:rFonts w:ascii="Times" w:eastAsia="Times New Roman" w:hAnsi="Times"/>
              </w:rPr>
              <w:t>phạt tù, người bị kết án tử hình mà bản án chưa có hiệu lực pháp luật hoặc đang chờ thi hành án; người bị tạm giam để thực hiện việc dẫn độ”. Tuy nhiên, tại khoản 3 Điều 23 Luật Thi hành án hình sự năm 2019 quy định: “Trong thời gian chờ chuyển đến nơi chấ</w:t>
            </w:r>
            <w:r>
              <w:rPr>
                <w:rFonts w:ascii="Times" w:eastAsia="Times New Roman" w:hAnsi="Times"/>
              </w:rPr>
              <w:t>p hành án phạt tù, người chấp hành án được hưởng chế độ như đối với phạm nhân”. Các quy định nêu trên mâu thuẫn trong việc thực hiện chế độ đối với người đang chờ chấp hành án phạt tù, áp dụng theo chế độ của người bị tạm giam hay chế độ của phạm nhân, điề</w:t>
            </w:r>
            <w:r>
              <w:rPr>
                <w:rFonts w:ascii="Times" w:eastAsia="Times New Roman" w:hAnsi="Times"/>
              </w:rPr>
              <w:t>u này gây khó khăn trong việc áp dụng của các cơ sở giam giữ.</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15-07-2025 14:44:39</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20</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Khoản 2 Điều 3 Luật Thi hành tạm giữ, tạm giam 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 Khoản 2 Điều 3 Luật Thi hành tạm giữ, tạm giam năm 2015 quy định: “Người bị tạm giam là người đang bị quản lý tại cơ sở giam giữ trong thời hạn tạm giam, gia hạn tạm giam theo quy định của Bộ luật </w:t>
            </w:r>
            <w:r>
              <w:rPr>
                <w:rFonts w:ascii="Times" w:eastAsia="Times New Roman" w:hAnsi="Times"/>
              </w:rPr>
              <w:t>tố tụng hình sự, bao gồm bị can; bị cáo; người bị kết án phạt tù, người bị kết án tử hình mà bản án chưa có hiệu lực pháp luật hoặc đang chờ thi hành án; người bị tạm giam để thực hiện việc dẫn độ”. Tuy nhiên, tại khoản 3 Điều 23 Luật Thi hành án hình sự n</w:t>
            </w:r>
            <w:r>
              <w:rPr>
                <w:rFonts w:ascii="Times" w:eastAsia="Times New Roman" w:hAnsi="Times"/>
              </w:rPr>
              <w:t>ăm 2019 quy định: “Trong thời gian chờ chuyển đến nơi chấp hành án phạt tù, người chấp hành án được hưởng chế độ như đối với phạm nhân”. Các quy định nêu trên mâu thuẫn trong việc thực hiện chế độ đối với người đang chờ chấp hành án phạt tù, áp dụng theo c</w:t>
            </w:r>
            <w:r>
              <w:rPr>
                <w:rFonts w:ascii="Times" w:eastAsia="Times New Roman" w:hAnsi="Times"/>
              </w:rPr>
              <w:t>hế độ của người bị tạm giam hay chế độ của phạm nhân, điều này gây khó khăn trong việc áp dụng của các cơ sở giam giữ.</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w:t>
            </w:r>
            <w:r>
              <w:rPr>
                <w:rFonts w:ascii="Times" w:eastAsia="Times New Roman" w:hAnsi="Times"/>
              </w:rPr>
              <w:t xml:space="preserve">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14-07-2025 21:48:18</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21</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Khoản 1, Điều </w:t>
            </w:r>
            <w:r>
              <w:rPr>
                <w:rFonts w:ascii="Times" w:eastAsia="Times New Roman" w:hAnsi="Times"/>
              </w:rPr>
              <w:lastRenderedPageBreak/>
              <w:t>15, Nghị định số 136/2020/ND-CP ngày 24/11/2020 của Chính phủ yề quy định chi tiết một số điều của Luật Phòng cháy và chữa cháy; Nghị định số 105/2025/NĐ- CP (có hiệu lực từ ngày 01/07/2025) thay thế Nghị định 136/2020/NĐ-CP</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Nghị định số 136</w:t>
            </w:r>
            <w:r>
              <w:rPr>
                <w:rFonts w:ascii="Times" w:eastAsia="Times New Roman" w:hAnsi="Times"/>
              </w:rPr>
              <w:t xml:space="preserve">/2020/NĐ-CP cho phép </w:t>
            </w:r>
            <w:r>
              <w:rPr>
                <w:rFonts w:ascii="Times" w:eastAsia="Times New Roman" w:hAnsi="Times"/>
              </w:rPr>
              <w:lastRenderedPageBreak/>
              <w:t>thực hiện nghiêm thu từng phần công trình phòng cháy và chữa cháy (PCCC) tại Khoản 1. Điều 15. Tuy nhiên, quy định này không làm rõ tiêu chí "đủ điểu kiện vận hành độc lập". dẫn đến cách hiểu và áp dụng không thống nhất giữa các địa ph</w:t>
            </w:r>
            <w:r>
              <w:rPr>
                <w:rFonts w:ascii="Times" w:eastAsia="Times New Roman" w:hAnsi="Times"/>
              </w:rPr>
              <w:t xml:space="preserve">ương. Tiếp đó, Luật Phòng cháy và chữa cháy năm 2024 đã chính thức thừa nhận nguyên tắc nghiệm thu từng phần, tạo cơ sở pháp lý ở cấp luật. Tuy nhiên, Nghị định số 105/2025/NĐ-CP quy định chi tiết và thay thế Nghị định 136/2020/NĐ-CP lại không quy định cụ </w:t>
            </w:r>
            <w:r>
              <w:rPr>
                <w:rFonts w:ascii="Times" w:eastAsia="Times New Roman" w:hAnsi="Times"/>
              </w:rPr>
              <w:t>thể nội dung nghiệm thu từng phần, dễ dẫn đến cách hiểu là chỉ được phép nghiệm thu toàn bộ công trình sau khi hoàn thành. Điều này gây khó khăn cho các dự án đầu tư triển khai theo giai đoạn hoặc phân kỳ, vì các hạng mục đã hoàn thiện không thể nghiệm thu</w:t>
            </w:r>
            <w:r>
              <w:rPr>
                <w:rFonts w:ascii="Times" w:eastAsia="Times New Roman" w:hAnsi="Times"/>
              </w:rPr>
              <w:t xml:space="preserve"> và đưa vào sử dụng, dẫn đến lãng phí nguồn lực và chậm tiến độ vận hành. Khoản 3 Điều 46 của Nghị định 105/2025/NĐ- CP chỉ quy định chuyển tiếp áp dụng Điều 15 Nghị </w:t>
            </w:r>
            <w:r>
              <w:rPr>
                <w:rFonts w:ascii="Times" w:eastAsia="Times New Roman" w:hAnsi="Times"/>
              </w:rPr>
              <w:lastRenderedPageBreak/>
              <w:t>định 136/2020/NĐ-CP đổi với các dự án đã được thẩm duyệt trước ngày 01/07/2025. Tuy nhiên,</w:t>
            </w:r>
            <w:r>
              <w:rPr>
                <w:rFonts w:ascii="Times" w:eastAsia="Times New Roman" w:hAnsi="Times"/>
              </w:rPr>
              <w:t xml:space="preserve"> với các dự án mới, cơ chế nghiêm thu từng phần vẫn chưa được làm rõ. Đề nghị cơ quan chức năng ban hành văn bản hướng dẫn hoặc giải thích pháp luật, làm rõ: Việc nghiệm thu từng phần công trình PCCC theo Luật PCCC 2024 có được tiếp tục áp dụng không; nếu </w:t>
            </w:r>
            <w:r>
              <w:rPr>
                <w:rFonts w:ascii="Times" w:eastAsia="Times New Roman" w:hAnsi="Times"/>
              </w:rPr>
              <w:t>có, thì quy định cụ thể về điều kiện, phạm vi, quy trình thực hiện. Tiêu chí xác định phần công trình “đủ điều kiện vận hành độc lập” nhằm đảm bảo áp dụng thống nhất trên toàn quốc. Đồng thời, kiến nghị bổ sung quy định hoặc hướng dẫn cụ thể nhằm đảm bảo t</w:t>
            </w:r>
            <w:r>
              <w:rPr>
                <w:rFonts w:ascii="Times" w:eastAsia="Times New Roman" w:hAnsi="Times"/>
              </w:rPr>
              <w:t xml:space="preserve">ính linh hoạt trong quá trình nghiệm thu, áp dụng đối với: Các dự án thực hiện theo hình thức phân kỳ đầu tư, thi công theo giai đoạn; Các trường hợp có lý do chính đáng chưa thể hoàn thiện toàn bộ công trình nhưng một số hạng mục đã hoàn thiện và đáp ứng </w:t>
            </w:r>
            <w:r>
              <w:rPr>
                <w:rFonts w:ascii="Times" w:eastAsia="Times New Roman" w:hAnsi="Times"/>
              </w:rPr>
              <w:t xml:space="preserve">điều kiện vận hành độc lập. Mục tiêu là tránh lãng phí, đảm bảo hiệu quả </w:t>
            </w:r>
            <w:r>
              <w:rPr>
                <w:rFonts w:ascii="Times" w:eastAsia="Times New Roman" w:hAnsi="Times"/>
              </w:rPr>
              <w:lastRenderedPageBreak/>
              <w:t>đầu tư, đồng thời giảm áp lực hành chính trong triển khai dự án thực tế.</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w:t>
            </w:r>
            <w:r>
              <w:rPr>
                <w:rFonts w:ascii="Times" w:eastAsia="Times New Roman" w:hAnsi="Times"/>
              </w:rPr>
              <w:lastRenderedPageBreak/>
              <w:t>bổ sung, thay thế, ban hành mới VBQPPL (theo trình tự, thủ tục rút gọn ban hành VBQPPL của Luật B</w:t>
            </w:r>
            <w:r>
              <w:rPr>
                <w:rFonts w:ascii="Times" w:eastAsia="Times New Roman" w:hAnsi="Times"/>
              </w:rPr>
              <w:t>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Hiệp hội </w:t>
            </w:r>
            <w:r>
              <w:rPr>
                <w:rFonts w:ascii="Times" w:eastAsia="Times New Roman" w:hAnsi="Times"/>
              </w:rPr>
              <w:lastRenderedPageBreak/>
              <w:t>Ngân hàng Việt Nam</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14-07-</w:t>
            </w:r>
            <w:r>
              <w:rPr>
                <w:rFonts w:ascii="Times" w:eastAsia="Times New Roman" w:hAnsi="Times"/>
              </w:rPr>
              <w:lastRenderedPageBreak/>
              <w:t>2025 17:02:58</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22</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TCVN 3890:2023 Phòng cháy chữa cháy – Phương tiện phòng cháy và chữa cháy cho nhà và công trình – Trang bị, bố trí </w:t>
            </w:r>
            <w:r>
              <w:rPr>
                <w:rFonts w:ascii="Times" w:eastAsia="Times New Roman" w:hAnsi="Times"/>
              </w:rPr>
              <w:t xml:space="preserve">Mục 5.4.2.1/5.4.2 quy định trang bị, bố trí hệ thống cấp nước chữa cháy ngoài nhà quy định tại Phụ lục C. Mục 25, 26 Bảng C.1, Phụ lục C: Quy định việc trang bị hệ </w:t>
            </w:r>
            <w:r>
              <w:rPr>
                <w:rFonts w:ascii="Times" w:eastAsia="Times New Roman" w:hAnsi="Times"/>
              </w:rPr>
              <w:lastRenderedPageBreak/>
              <w:t>thống cấp nước chữa cháy ngoài nhà đối với Kho DM&amp;SPDM, Cảng xuất nhập DM&amp;SPDM, Cửa hàng xăn</w:t>
            </w:r>
            <w:r>
              <w:rPr>
                <w:rFonts w:ascii="Times" w:eastAsia="Times New Roman" w:hAnsi="Times"/>
              </w:rPr>
              <w:t>g dầu, cửa hàng kinh doanh chất lỏng dễ cháy, cơ sở kinh doanh khí đốt.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Đối với các công trình DM&amp;SPDM (Kho, cảng DM&amp;SPDM, khí đốt, CHXD, LPG …) đã được thiết kế, thẩm duyệt thiết kế, thi công và nghiệm thu về PCCC theo các quy định tại TCVN 5307:2009; TC</w:t>
            </w:r>
            <w:r>
              <w:rPr>
                <w:rFonts w:ascii="Times" w:eastAsia="Times New Roman" w:hAnsi="Times"/>
              </w:rPr>
              <w:t xml:space="preserve">VN 6223:2017; QCVN 01:2020/BCT … trong đó đã có các giải pháp, trang thiết bị, phương tiện PCCC bảo đảm yêu cầu chữa cháy khi có sự cố xảy ra. Cụ thể: (1) Đối với Kho, cảng DM&amp;SDM, khí đốt đều được trang bị các hệ thống chữa cháy cố định, bán cố định bằng </w:t>
            </w:r>
            <w:r>
              <w:rPr>
                <w:rFonts w:ascii="Times" w:eastAsia="Times New Roman" w:hAnsi="Times"/>
              </w:rPr>
              <w:t>Foam (máy bơm, lăng, trụ nước, trụ Foam…), nguồn nước đã được tính toán để chữa cháy và làm mát cho đám cháy lớn nhất theo quy định; trang bị xe chữa cháy theo dung tích kho; các trang thiết bị chữa cháy ban đầu (lăng, vòi, bình chữa cháy các loại, chăn ch</w:t>
            </w:r>
            <w:r>
              <w:rPr>
                <w:rFonts w:ascii="Times" w:eastAsia="Times New Roman" w:hAnsi="Times"/>
              </w:rPr>
              <w:t xml:space="preserve">ữa cháy…); (2) Đối với CHXD, LPG được trang bị phương tiện chữa cháy theo quy định tại QCVN 01:2020/BCT và </w:t>
            </w:r>
            <w:r>
              <w:rPr>
                <w:rFonts w:ascii="Times" w:eastAsia="Times New Roman" w:hAnsi="Times"/>
              </w:rPr>
              <w:lastRenderedPageBreak/>
              <w:t>TCVN 6223:2017 gồm bình chữa cháy các loại (MFZT35, MFZ8, MFZ4, MT3, MT5 …), chăn chữa cháy… bảo đảm tính sẵn sàng trong xử lý các tình huống cháy, n</w:t>
            </w:r>
            <w:r>
              <w:rPr>
                <w:rFonts w:ascii="Times" w:eastAsia="Times New Roman" w:hAnsi="Times"/>
              </w:rPr>
              <w:t>ổ. Nhiều cơ sở nằm ở vùng sâu, vùng sa, vùng có địa hình khó khăn không có trụ nước chữa cháy công cộng và cũng không có nguồn nước ở gần để bố trí trụ nước. Hơn nữa việc trang bị, bố trí các trụ nước chữa cháy ngoài phạm vi công trình phải tuân thủ quy ho</w:t>
            </w:r>
            <w:r>
              <w:rPr>
                <w:rFonts w:ascii="Times" w:eastAsia="Times New Roman" w:hAnsi="Times"/>
              </w:rPr>
              <w:t xml:space="preserve">ạch, mạng lưới bố trí trụ nước công cộng của nhà nước.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Tập đoàn xăng dầu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14-07-2025 15:17:33</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23</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Mục 8, Bảng F.1. Phụ lục F</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Quy định Kho DM&amp;SPDM có dung tích trên 15,000m3 phải trang bị 03 bộ mặt lạ phòng độc cách ly; Trong khi đó, theo quy định tại Phụ lục III ban hành kèm theo TT 150/2020/TT-BCA quy đã quy định Đội PCCC chuyên ngành (các kho có dun</w:t>
            </w:r>
            <w:r>
              <w:rPr>
                <w:rFonts w:ascii="Times" w:eastAsia="Times New Roman" w:hAnsi="Times"/>
              </w:rPr>
              <w:t xml:space="preserve">g tích từ 15,000m3 trở lên) phải trang bị nội dung này.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C. Sửa đổi, bổ sung, thay thế, ban hành mới VBQPPL (theo trình tự, thủ tục rút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Tập đoàn xăng dầu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14-07-2025 15:17:33</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24</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Tại kho</w:t>
            </w:r>
            <w:r>
              <w:rPr>
                <w:rFonts w:ascii="Times" w:eastAsia="Times New Roman" w:hAnsi="Times"/>
              </w:rPr>
              <w:t>ản 4 Điều 43 Nghị định số 168/2024/NĐ-CP ngày 26/12/2024 của Chính phủ quy định xử phạt vi phạm hành chính về trật tự, an toàn giao thông trong lĩnh vực giao thông đường bộ; trừ điểm, phục hồi điểm giấy phép lái xe</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Tại khoản 4 Điều 43 quy định về thẩm quyền, mức xử phạt và áp dụng biện pháp khắc phục hậu quả của Trưởng công an cấp huyện và một số chức danh khác, nhưng hiện nay công an cấp huyện đã giải thể, vì vậy quy định này không còn phù hợp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C. Sửa đổi, bổ sung, </w:t>
            </w:r>
            <w:r>
              <w:rPr>
                <w:rFonts w:ascii="Times" w:eastAsia="Times New Roman" w:hAnsi="Times"/>
              </w:rPr>
              <w:t>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Sở Tư pháp tỉnh Quảng Ngãi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13-07-2025 21:29:11</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25</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Điểm 2.1.1, 2.1.2, 2.1.3 Khoản 2.1 Điều </w:t>
            </w:r>
            <w:r>
              <w:rPr>
                <w:rFonts w:ascii="Times" w:eastAsia="Times New Roman" w:hAnsi="Times"/>
              </w:rPr>
              <w:lastRenderedPageBreak/>
              <w:t>2 Thông tư số 15/2001/TTLT-BTM-BCA ngày 10/05/2</w:t>
            </w:r>
            <w:r>
              <w:rPr>
                <w:rFonts w:ascii="Times" w:eastAsia="Times New Roman" w:hAnsi="Times"/>
              </w:rPr>
              <w:t xml:space="preserve">001. </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Điểm 2.1.1, 2.1.2, 2.1.3 Khoản 2.1 Điều 2 Thông tư số 15/2001/TTLT-BTM-BCA mâu thuẫn với Mục 1.3, 1.4, 1.5 tại Bảng </w:t>
            </w:r>
            <w:r>
              <w:rPr>
                <w:rFonts w:ascii="Times" w:eastAsia="Times New Roman" w:hAnsi="Times"/>
              </w:rPr>
              <w:lastRenderedPageBreak/>
              <w:t>D.1 Quy định về trang bị phương tiện chữa cháy cơ giới - Phụ lục D Quy định về trang bị phương tiện chữa cháy cơ giới trong TCVN 3890:2023 –</w:t>
            </w:r>
            <w:r>
              <w:rPr>
                <w:rFonts w:ascii="Times" w:eastAsia="Times New Roman" w:hAnsi="Times"/>
              </w:rPr>
              <w:t xml:space="preserve"> Phòng cháy chữa cháy – Phương tiện phòng cháy và chữa cháy cho nhà và công trình – Trang bị, bố trí. Kiến nghị, đề xuất các nội dung này nên được thống nhất:2. Trang bị phương tiện chữa cháy2.1. Đối với các kho dầu mỏ và sản phẩm dầu mỏ phải trang bị xe c</w:t>
            </w:r>
            <w:r>
              <w:rPr>
                <w:rFonts w:ascii="Times" w:eastAsia="Times New Roman" w:hAnsi="Times"/>
              </w:rPr>
              <w:t>hữa cháy, máy bơm chữa cháy như sau:2.1.1. Kho dầu mỏ và sản phẩm dầu mỏ có dung tích chung lớn hơn 50.000m3 phải có ít nhất hai xe chữa cháy.2.1.2. Kho dầu mỏ và sản phẩm dầu mỏ có dung tích chung từ 15.000 đến 50.000m3 phải có ít nhất một xe chữa cháy và</w:t>
            </w:r>
            <w:r>
              <w:rPr>
                <w:rFonts w:ascii="Times" w:eastAsia="Times New Roman" w:hAnsi="Times"/>
              </w:rPr>
              <w:t xml:space="preserve"> một máy bơm chữa cháy di động.2.1.3. Kho dầu mỏ và sản phẩm dầu mỏ có dung tích chung nhỏ hơn 15.000 m3 phải có ít nhất một máy bơm chữa cháy di động và một máy bơm dự phòng có cùng tính năng kỹ thuật với bơm chính.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C. Sửa đổi, bổ sung, thay thế, </w:t>
            </w:r>
            <w:r>
              <w:rPr>
                <w:rFonts w:ascii="Times" w:eastAsia="Times New Roman" w:hAnsi="Times"/>
              </w:rPr>
              <w:lastRenderedPageBreak/>
              <w:t>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 xml:space="preserve">Tập đoàn Công nghiệp - </w:t>
            </w:r>
            <w:r>
              <w:rPr>
                <w:rFonts w:ascii="Times" w:eastAsia="Times New Roman" w:hAnsi="Times"/>
              </w:rPr>
              <w:lastRenderedPageBreak/>
              <w:t xml:space="preserve">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 xml:space="preserve">11-07-2025 </w:t>
            </w:r>
            <w:r>
              <w:rPr>
                <w:rFonts w:ascii="Times" w:eastAsia="Times New Roman" w:hAnsi="Times"/>
              </w:rPr>
              <w:lastRenderedPageBreak/>
              <w:t>11:06:18</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26</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Điểm 2.1.1, 2.1.2, 2.1.3 Khoản 2.1 Điều </w:t>
            </w:r>
            <w:r>
              <w:rPr>
                <w:rFonts w:ascii="Times" w:eastAsia="Times New Roman" w:hAnsi="Times"/>
              </w:rPr>
              <w:t xml:space="preserve">2 Thông tư số 15/2001/TTLT-BTM-BCA ngày 10/05/2001. </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Điểm 2.1.1, 2.1.2, 2.1.3 Khoản 2.1 Điều 2 Thông tư số 15/2001/TTLT-BTM-BCA mâu thuẫn với Mục 1.3, 1.4, 1.5 tại Bảng D.1 Quy định về trang bị phương tiện chữa cháy cơ giới - Phụ lục D Quy định về trang b</w:t>
            </w:r>
            <w:r>
              <w:rPr>
                <w:rFonts w:ascii="Times" w:eastAsia="Times New Roman" w:hAnsi="Times"/>
              </w:rPr>
              <w:t>ị phương tiện chữa cháy cơ giới trong TCVN 3890:2023 – Phòng cháy chữa cháy – Phương tiện phòng cháy và chữa cháy cho nhà và công trình – Trang bị, bố trí. Kiến nghị, đề xuất các nội dung này nên được thống nhất:2. Trang bị phương tiện chữa cháy2.1. Đối vớ</w:t>
            </w:r>
            <w:r>
              <w:rPr>
                <w:rFonts w:ascii="Times" w:eastAsia="Times New Roman" w:hAnsi="Times"/>
              </w:rPr>
              <w:t>i các kho dầu mỏ và sản phẩm dầu mỏ phải trang bị xe chữa cháy, máy bơm chữa cháy như sau:2.1.1. Kho dầu mỏ và sản phẩm dầu mỏ có dung tích chung lớn hơn 50.000m3 phải có ít nhất hai xe chữa cháy.2.1.2. Kho dầu mỏ và sản phẩm dầu mỏ có dung tích chung từ 1</w:t>
            </w:r>
            <w:r>
              <w:rPr>
                <w:rFonts w:ascii="Times" w:eastAsia="Times New Roman" w:hAnsi="Times"/>
              </w:rPr>
              <w:t xml:space="preserve">5.000 đến 50.000m3phải có ít nhất một xe chữa cháy và một máy bơm chữa cháy di động.2.1.3. Kho dầu mỏ và sản phẩm dầu mỏ có dung tích chung nhỏ hơn 15.000 m3 phải có ít nhất một máy bơm chữa </w:t>
            </w:r>
            <w:r>
              <w:rPr>
                <w:rFonts w:ascii="Times" w:eastAsia="Times New Roman" w:hAnsi="Times"/>
              </w:rPr>
              <w:lastRenderedPageBreak/>
              <w:t>cháy di động và một máy bơm dự phòng có cùng tính năng kỹ thuật v</w:t>
            </w:r>
            <w:r>
              <w:rPr>
                <w:rFonts w:ascii="Times" w:eastAsia="Times New Roman" w:hAnsi="Times"/>
              </w:rPr>
              <w:t>ới bơm chính.TCVN 3890:2023:</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Tập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11-07-2025 10:23:52</w:t>
            </w:r>
          </w:p>
        </w:tc>
      </w:tr>
      <w:tr w:rsidR="00000000">
        <w:trPr>
          <w:divId w:val="1091007266"/>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lastRenderedPageBreak/>
              <w:t>27</w:t>
            </w:r>
          </w:p>
        </w:tc>
        <w:tc>
          <w:tcPr>
            <w:tcW w:w="6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Điểm 2.1.1, 2.1.2, 2.1.3 Khoản 2.1 Điều 2 Thông tư số 15/2001/TTLT-BTM-BCA ngày 10/05/2001.</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 xml:space="preserve">Điểm 2.1.1, 2.1.2, 2.1.3 Khoản 2.1 Điều 2 Thông tư số 15/2001/TTLT-BTM-BCA mâu thuẫn với Mục 1.3, 1.4, 1.5 tại Bảng D.1 Quy định về trang bị phương tiện chữa cháy </w:t>
            </w:r>
            <w:r>
              <w:rPr>
                <w:rFonts w:ascii="Times" w:eastAsia="Times New Roman" w:hAnsi="Times"/>
              </w:rPr>
              <w:t>cơ giới - Phụ lục D Quy định về trang bị phương tiện chữa cháy cơ giới trong TCVN 3890:2023 – Phòng cháy chữa cháy – Phương tiện phòng cháy và chữa cháy cho nhà và công trình – Trang bị, bố trí. Kiến nghị, đề xuất các nội dung này nên được thống nhất: 2. T</w:t>
            </w:r>
            <w:r>
              <w:rPr>
                <w:rFonts w:ascii="Times" w:eastAsia="Times New Roman" w:hAnsi="Times"/>
              </w:rPr>
              <w:t>rang bị phương tiện chữa cháy 2.1. Đối với các kho dầu mỏ và sản phẩm dầu mỏ phải trang bị xe chữa cháy, máy bơm chữa cháy như sau: 2.1.1. Kho dầu mỏ và sản phẩm dầu mỏ có dung tích chung lớn hơn 50.000m3 phải có ít nhất hai xe chữa cháy. 2.1.2. Kho dầu mỏ</w:t>
            </w:r>
            <w:r>
              <w:rPr>
                <w:rFonts w:ascii="Times" w:eastAsia="Times New Roman" w:hAnsi="Times"/>
              </w:rPr>
              <w:t xml:space="preserve"> và sản phẩm dầu mỏ có dung tích chung từ 15.000 đến 50.000m3 phải có ít nhất một xe chữa </w:t>
            </w:r>
            <w:r>
              <w:rPr>
                <w:rFonts w:ascii="Times" w:eastAsia="Times New Roman" w:hAnsi="Times"/>
              </w:rPr>
              <w:lastRenderedPageBreak/>
              <w:t xml:space="preserve">cháy và một máy bơm chữa cháy di động. 2.1.3. Kho dầu mỏ và sản phẩm dầu mỏ có dung tích chung nhỏ hơn 15.000 m3 phải có ít nhất một máy bơm chữa cháy di động và một </w:t>
            </w:r>
            <w:r>
              <w:rPr>
                <w:rFonts w:ascii="Times" w:eastAsia="Times New Roman" w:hAnsi="Times"/>
              </w:rPr>
              <w:t>máy bơm dự phòng có cùng tính năng kỹ thuật với bơm chính. TCVN 3890:2023:</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r>
              <w:rPr>
                <w:rFonts w:ascii="Times" w:eastAsia="Times New Roman" w:hAnsi="Times"/>
              </w:rPr>
              <w:t>Tổng công ty Dầu Việt Nam – PVoil</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956F56">
            <w:pPr>
              <w:jc w:val="center"/>
              <w:rPr>
                <w:rFonts w:ascii="Times" w:eastAsia="Times New Roman" w:hAnsi="Times"/>
                <w:sz w:val="24"/>
                <w:szCs w:val="24"/>
              </w:rPr>
            </w:pPr>
            <w:r>
              <w:rPr>
                <w:rFonts w:ascii="Times" w:eastAsia="Times New Roman" w:hAnsi="Times"/>
              </w:rPr>
              <w:t>11-07-2025 10:21:04</w:t>
            </w:r>
          </w:p>
        </w:tc>
      </w:tr>
    </w:tbl>
    <w:p w:rsidR="00956F56" w:rsidRDefault="00956F56">
      <w:pPr>
        <w:divId w:val="1091007266"/>
        <w:rPr>
          <w:rFonts w:ascii="Times New Roman" w:eastAsia="Times New Roman" w:hAnsi="Times New Roman"/>
          <w:sz w:val="24"/>
          <w:szCs w:val="24"/>
        </w:rPr>
      </w:pPr>
    </w:p>
    <w:sectPr w:rsidR="00956F56" w:rsidSect="00576337">
      <w:pgSz w:w="15840" w:h="12240" w:orient="landscape"/>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987FB0"/>
    <w:rsid w:val="00576337"/>
    <w:rsid w:val="00956F56"/>
    <w:rsid w:val="00987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537684">
      <w:marLeft w:val="0"/>
      <w:marRight w:val="0"/>
      <w:marTop w:val="0"/>
      <w:marBottom w:val="0"/>
      <w:divBdr>
        <w:top w:val="none" w:sz="0" w:space="0" w:color="auto"/>
        <w:left w:val="none" w:sz="0" w:space="0" w:color="auto"/>
        <w:bottom w:val="none" w:sz="0" w:space="0" w:color="auto"/>
        <w:right w:val="none" w:sz="0" w:space="0" w:color="auto"/>
      </w:divBdr>
      <w:divsChild>
        <w:div w:id="1862279892">
          <w:marLeft w:val="0"/>
          <w:marRight w:val="0"/>
          <w:marTop w:val="0"/>
          <w:marBottom w:val="0"/>
          <w:divBdr>
            <w:top w:val="none" w:sz="0" w:space="0" w:color="auto"/>
            <w:left w:val="none" w:sz="0" w:space="0" w:color="auto"/>
            <w:bottom w:val="none" w:sz="0" w:space="0" w:color="auto"/>
            <w:right w:val="none" w:sz="0" w:space="0" w:color="auto"/>
          </w:divBdr>
          <w:divsChild>
            <w:div w:id="391655690">
              <w:marLeft w:val="0"/>
              <w:marRight w:val="0"/>
              <w:marTop w:val="0"/>
              <w:marBottom w:val="0"/>
              <w:divBdr>
                <w:top w:val="none" w:sz="0" w:space="0" w:color="auto"/>
                <w:left w:val="none" w:sz="0" w:space="0" w:color="auto"/>
                <w:bottom w:val="none" w:sz="0" w:space="0" w:color="auto"/>
                <w:right w:val="none" w:sz="0" w:space="0" w:color="auto"/>
              </w:divBdr>
              <w:divsChild>
                <w:div w:id="2077625672">
                  <w:marLeft w:val="0"/>
                  <w:marRight w:val="0"/>
                  <w:marTop w:val="0"/>
                  <w:marBottom w:val="0"/>
                  <w:divBdr>
                    <w:top w:val="none" w:sz="0" w:space="0" w:color="auto"/>
                    <w:left w:val="none" w:sz="0" w:space="0" w:color="auto"/>
                    <w:bottom w:val="none" w:sz="0" w:space="0" w:color="auto"/>
                    <w:right w:val="none" w:sz="0" w:space="0" w:color="auto"/>
                  </w:divBdr>
                  <w:divsChild>
                    <w:div w:id="109100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701625">
      <w:marLeft w:val="0"/>
      <w:marRight w:val="0"/>
      <w:marTop w:val="0"/>
      <w:marBottom w:val="0"/>
      <w:divBdr>
        <w:top w:val="none" w:sz="0" w:space="0" w:color="auto"/>
        <w:left w:val="none" w:sz="0" w:space="0" w:color="auto"/>
        <w:bottom w:val="none" w:sz="0" w:space="0" w:color="auto"/>
        <w:right w:val="none" w:sz="0" w:space="0" w:color="auto"/>
      </w:divBdr>
      <w:divsChild>
        <w:div w:id="19948671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5054</Words>
  <Characters>28812</Characters>
  <Application>Microsoft Office Word</Application>
  <DocSecurity>0</DocSecurity>
  <Lines>240</Lines>
  <Paragraphs>67</Paragraphs>
  <ScaleCrop>false</ScaleCrop>
  <Company/>
  <LinksUpToDate>false</LinksUpToDate>
  <CharactersWithSpaces>33799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2025-07-16T10:54:00Z</dcterms:created>
  <dcterms:modified xsi:type="dcterms:W3CDTF">2025-07-16T10:54:00Z</dcterms:modified>
</cp:coreProperties>
</file>